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70F95" w14:textId="03CAC43A" w:rsidR="00307F2B" w:rsidRDefault="00FB565D" w:rsidP="00307F2B">
      <w:pPr>
        <w:jc w:val="center"/>
        <w:rPr>
          <w:b/>
        </w:rPr>
      </w:pPr>
      <w:r w:rsidRPr="00307F2B">
        <w:rPr>
          <w:b/>
        </w:rPr>
        <w:t xml:space="preserve">Høringssvar fra Dansk Selskab for Obstetrik og Gynækologi </w:t>
      </w:r>
      <w:r w:rsidR="00237A75">
        <w:rPr>
          <w:b/>
        </w:rPr>
        <w:t xml:space="preserve">(DSOG) </w:t>
      </w:r>
      <w:r w:rsidRPr="00307F2B">
        <w:rPr>
          <w:b/>
        </w:rPr>
        <w:t xml:space="preserve">om </w:t>
      </w:r>
    </w:p>
    <w:p w14:paraId="6BAD913B" w14:textId="77777777" w:rsidR="000929B4" w:rsidRPr="00307F2B" w:rsidRDefault="001F46FF" w:rsidP="00307F2B">
      <w:pPr>
        <w:jc w:val="center"/>
        <w:rPr>
          <w:b/>
        </w:rPr>
      </w:pPr>
      <w:r w:rsidRPr="00307F2B">
        <w:rPr>
          <w:b/>
        </w:rPr>
        <w:t>Dimensionering</w:t>
      </w:r>
      <w:r w:rsidR="00FB565D" w:rsidRPr="00307F2B">
        <w:rPr>
          <w:b/>
        </w:rPr>
        <w:t xml:space="preserve"> af speciallægeuddannelsen 2018-2022</w:t>
      </w:r>
    </w:p>
    <w:p w14:paraId="7CA976EC" w14:textId="30FD9F0C" w:rsidR="001E4015" w:rsidRDefault="00FB565D">
      <w:r>
        <w:t xml:space="preserve">I </w:t>
      </w:r>
      <w:r w:rsidR="006011E8">
        <w:t xml:space="preserve">den senest udsendte </w:t>
      </w:r>
      <w:r>
        <w:t xml:space="preserve">Lægeprognose </w:t>
      </w:r>
      <w:r w:rsidR="00C8118E">
        <w:t xml:space="preserve">for </w:t>
      </w:r>
      <w:r w:rsidR="006011E8">
        <w:t>201</w:t>
      </w:r>
      <w:r w:rsidR="00C8118E">
        <w:t>5-2040</w:t>
      </w:r>
      <w:r w:rsidR="006011E8">
        <w:t xml:space="preserve"> forventes flere læger. Den</w:t>
      </w:r>
      <w:r w:rsidR="00517A19">
        <w:t xml:space="preserve"> </w:t>
      </w:r>
      <w:r w:rsidR="006011E8">
        <w:t>peger p</w:t>
      </w:r>
      <w:r w:rsidR="006011E8" w:rsidRPr="005A2DED">
        <w:t>å</w:t>
      </w:r>
      <w:r w:rsidR="00D84D96" w:rsidRPr="005A2DED">
        <w:t>,</w:t>
      </w:r>
      <w:r w:rsidR="006011E8">
        <w:t xml:space="preserve"> at stigninge</w:t>
      </w:r>
      <w:r w:rsidR="009708A4">
        <w:t>n i antallet af speciallæger i g</w:t>
      </w:r>
      <w:r w:rsidR="006011E8">
        <w:t>yn</w:t>
      </w:r>
      <w:r w:rsidR="009708A4">
        <w:t>ækologi-o</w:t>
      </w:r>
      <w:r w:rsidR="006011E8">
        <w:t>bs</w:t>
      </w:r>
      <w:r w:rsidR="009708A4">
        <w:t>tetrik</w:t>
      </w:r>
      <w:r w:rsidR="00590820" w:rsidRPr="005A2DED">
        <w:t xml:space="preserve"> </w:t>
      </w:r>
      <w:r w:rsidR="00517A19" w:rsidRPr="0000758E">
        <w:t>forventes</w:t>
      </w:r>
      <w:r w:rsidR="00517A19" w:rsidRPr="00C0580F">
        <w:t xml:space="preserve"> </w:t>
      </w:r>
      <w:r w:rsidR="00C8118E" w:rsidRPr="00C0580F">
        <w:t xml:space="preserve">at være </w:t>
      </w:r>
      <w:r w:rsidR="00AE0BDE">
        <w:t xml:space="preserve">steget med </w:t>
      </w:r>
      <w:r w:rsidR="00D84D96" w:rsidRPr="00C0580F">
        <w:t>26</w:t>
      </w:r>
      <w:r w:rsidR="00D00461">
        <w:t>%</w:t>
      </w:r>
      <w:r w:rsidR="00C8118E" w:rsidRPr="0000758E">
        <w:t xml:space="preserve"> i 2040</w:t>
      </w:r>
      <w:r w:rsidR="00D84D96" w:rsidRPr="00C0580F">
        <w:t xml:space="preserve">, </w:t>
      </w:r>
      <w:r w:rsidR="00F32DBB" w:rsidRPr="00C0580F">
        <w:t xml:space="preserve">og </w:t>
      </w:r>
      <w:r w:rsidR="00AE0BDE">
        <w:t xml:space="preserve">stigningen er </w:t>
      </w:r>
      <w:r w:rsidR="00C8118E" w:rsidRPr="00C0580F">
        <w:t>dermed en</w:t>
      </w:r>
      <w:r w:rsidR="00A271F2">
        <w:t xml:space="preserve"> af de</w:t>
      </w:r>
      <w:r w:rsidR="00C8118E" w:rsidRPr="00C0580F">
        <w:t xml:space="preserve"> laveste for alle</w:t>
      </w:r>
      <w:r w:rsidR="00F32DBB" w:rsidRPr="00C0580F">
        <w:t xml:space="preserve"> </w:t>
      </w:r>
      <w:r w:rsidR="006011E8" w:rsidRPr="00C0580F">
        <w:t xml:space="preserve">specialer. </w:t>
      </w:r>
      <w:r w:rsidR="00F32DBB" w:rsidRPr="00C0580F">
        <w:t>R</w:t>
      </w:r>
      <w:r w:rsidR="00BB221B" w:rsidRPr="00C0580F">
        <w:t>apport</w:t>
      </w:r>
      <w:r w:rsidR="00F32DBB" w:rsidRPr="00C0580F">
        <w:t>en</w:t>
      </w:r>
      <w:r w:rsidR="00BB221B" w:rsidRPr="00C0580F">
        <w:t xml:space="preserve"> </w:t>
      </w:r>
      <w:r w:rsidR="00F32DBB" w:rsidRPr="00C0580F">
        <w:t>giver anledning til</w:t>
      </w:r>
      <w:r w:rsidR="00BB221B" w:rsidRPr="00C0580F">
        <w:t xml:space="preserve"> nogle generelle bemærkninger, der i særlig gr</w:t>
      </w:r>
      <w:r w:rsidR="00517A19" w:rsidRPr="00C0580F">
        <w:t xml:space="preserve">ad kan have indflydelse på </w:t>
      </w:r>
      <w:r w:rsidR="00517A19" w:rsidRPr="0000758E">
        <w:t>den ønskede</w:t>
      </w:r>
      <w:r w:rsidR="00517A19" w:rsidRPr="00C0580F">
        <w:t xml:space="preserve"> dimensionering</w:t>
      </w:r>
      <w:r w:rsidR="00BB221B" w:rsidRPr="00C0580F">
        <w:t xml:space="preserve"> i specialet </w:t>
      </w:r>
      <w:r w:rsidR="00F32DBB" w:rsidRPr="00C0580F">
        <w:t>gynækologi</w:t>
      </w:r>
      <w:r w:rsidR="00F32DBB">
        <w:t>-obstetrik</w:t>
      </w:r>
      <w:r w:rsidR="00517A19">
        <w:t>.</w:t>
      </w:r>
      <w:r w:rsidR="00650F87">
        <w:t xml:space="preserve"> </w:t>
      </w:r>
    </w:p>
    <w:p w14:paraId="128F4AAA" w14:textId="521FA761" w:rsidR="00F32DBB" w:rsidRDefault="006F68DA" w:rsidP="00B3644F">
      <w:r>
        <w:t xml:space="preserve">Som grundlag </w:t>
      </w:r>
      <w:r w:rsidR="00EE2941">
        <w:t>for</w:t>
      </w:r>
      <w:r>
        <w:t xml:space="preserve"> høringssvar</w:t>
      </w:r>
      <w:r w:rsidR="00EE2941">
        <w:t>et</w:t>
      </w:r>
      <w:r>
        <w:t xml:space="preserve"> </w:t>
      </w:r>
      <w:r w:rsidR="00AE0BDE">
        <w:t>ha</w:t>
      </w:r>
      <w:r>
        <w:t>r</w:t>
      </w:r>
      <w:r w:rsidR="00AE0BDE">
        <w:t xml:space="preserve"> selskabet</w:t>
      </w:r>
      <w:r>
        <w:t xml:space="preserve"> indhentet oplysninger </w:t>
      </w:r>
      <w:r w:rsidR="00AE0BDE">
        <w:t xml:space="preserve">fra </w:t>
      </w:r>
      <w:r w:rsidR="00AE0BDE">
        <w:t>alle de danske gynækologisk-obstetriske afdelinger</w:t>
      </w:r>
      <w:r w:rsidR="00AE0BDE">
        <w:t xml:space="preserve"> </w:t>
      </w:r>
      <w:r w:rsidR="00EE2941">
        <w:t>angående</w:t>
      </w:r>
      <w:r>
        <w:t xml:space="preserve"> </w:t>
      </w:r>
      <w:r w:rsidR="00EE2941">
        <w:t>læge</w:t>
      </w:r>
      <w:r>
        <w:t>bemandingen i juni 2016</w:t>
      </w:r>
      <w:r w:rsidR="00F32DBB">
        <w:t xml:space="preserve">. </w:t>
      </w:r>
      <w:r w:rsidR="00EE2941">
        <w:t>Her indgår</w:t>
      </w:r>
      <w:r>
        <w:t xml:space="preserve"> antal speciallæger, kønsfordeling, antal uddannelsessøgende, deltidsstillinger, sygemeldte samt fordeling i subspecialer.</w:t>
      </w:r>
      <w:r w:rsidR="00BB221B">
        <w:t xml:space="preserve"> Skemaet er udsendt til </w:t>
      </w:r>
      <w:r w:rsidR="00EE2941">
        <w:t>afdelingernes</w:t>
      </w:r>
      <w:r w:rsidR="00BB221B">
        <w:t xml:space="preserve"> ledende overlæger og uddannelsesansvarlige overlæger.</w:t>
      </w:r>
      <w:r w:rsidR="00F32DBB">
        <w:t xml:space="preserve"> Derudover indgår en opgørelse fra årsskiftet for gynækologisk speciallægepraksis.</w:t>
      </w:r>
      <w:r w:rsidR="009D3270">
        <w:t xml:space="preserve"> </w:t>
      </w:r>
      <w:r w:rsidR="00F32DBB">
        <w:t>A</w:t>
      </w:r>
      <w:r w:rsidR="00B3644F">
        <w:t>lle</w:t>
      </w:r>
      <w:r w:rsidR="00F32DBB">
        <w:t xml:space="preserve"> de</w:t>
      </w:r>
      <w:r w:rsidR="00AE0BDE">
        <w:t xml:space="preserve"> gynækologisk</w:t>
      </w:r>
      <w:r w:rsidR="00517A19">
        <w:t>-</w:t>
      </w:r>
      <w:r w:rsidR="00B3644F">
        <w:t>obstetriske afdelinger</w:t>
      </w:r>
      <w:r w:rsidR="00920EB1">
        <w:t>,</w:t>
      </w:r>
      <w:r w:rsidR="00B3644F">
        <w:t xml:space="preserve"> fraset Nykøbing Falster og Bornholm</w:t>
      </w:r>
      <w:r w:rsidR="00F32DBB">
        <w:t xml:space="preserve"> returnerede opgørelsen. Nykøbing Falster og Bornholm dækker 5-6 speciallæger i alt.</w:t>
      </w:r>
      <w:r w:rsidR="009D3270">
        <w:t xml:space="preserve"> I opgørelse</w:t>
      </w:r>
      <w:r w:rsidR="00C8118E">
        <w:t>n</w:t>
      </w:r>
      <w:r w:rsidR="009D3270">
        <w:t xml:space="preserve"> indgår ikke speciallæger</w:t>
      </w:r>
      <w:r w:rsidR="00C8118E">
        <w:t>,</w:t>
      </w:r>
      <w:r w:rsidR="009D3270">
        <w:t xml:space="preserve"> der</w:t>
      </w:r>
      <w:r w:rsidR="00C8118E">
        <w:t xml:space="preserve"> udelukkende</w:t>
      </w:r>
      <w:r w:rsidR="009D3270">
        <w:t xml:space="preserve"> arbejder på privathospital. </w:t>
      </w:r>
    </w:p>
    <w:p w14:paraId="7B6237FF" w14:textId="7507E01E" w:rsidR="00B3644F" w:rsidRDefault="00F32DBB" w:rsidP="00B3644F">
      <w:r>
        <w:t>Nedenfor besvares først de i høringsmaterialet stillede spørgsmål</w:t>
      </w:r>
      <w:r w:rsidR="00490F7F">
        <w:t xml:space="preserve"> inklusive en mindre indledning</w:t>
      </w:r>
      <w:r w:rsidR="006173AE">
        <w:t>. Herefter anføres andre punkter, der kan antages af have indflydelse på dimensioneringen og lægeprognosen.</w:t>
      </w:r>
      <w:r w:rsidR="009D3270">
        <w:t xml:space="preserve"> </w:t>
      </w:r>
    </w:p>
    <w:p w14:paraId="595396BB" w14:textId="2C2DD429" w:rsidR="00816BA3" w:rsidRPr="00490F7F" w:rsidRDefault="00816BA3" w:rsidP="00B3644F">
      <w:pPr>
        <w:rPr>
          <w:b/>
        </w:rPr>
      </w:pPr>
      <w:r w:rsidRPr="00490F7F">
        <w:rPr>
          <w:b/>
        </w:rPr>
        <w:t>Indledende kommentarer</w:t>
      </w:r>
    </w:p>
    <w:p w14:paraId="4E8A4EEF" w14:textId="57BD27B0" w:rsidR="00816BA3" w:rsidRDefault="00816BA3" w:rsidP="00B3644F">
      <w:r>
        <w:t xml:space="preserve">Afdelingerne er landet over meget forskellige, særligt hvad angår fødestedets størrelse. De meget store fødeafdelinger (&gt; 4500 fødsler årligt; </w:t>
      </w:r>
      <w:r w:rsidR="00573A93">
        <w:t>Hvidovre</w:t>
      </w:r>
      <w:r>
        <w:t xml:space="preserve">, </w:t>
      </w:r>
      <w:r w:rsidR="00573A93">
        <w:t>Rigshospitalet</w:t>
      </w:r>
      <w:r>
        <w:t xml:space="preserve">, </w:t>
      </w:r>
      <w:r w:rsidR="00573A93">
        <w:t>Herlev</w:t>
      </w:r>
      <w:r>
        <w:t>, Odense og Skejby) har mulighed for vagtdækning på speciallægeniveau i både gynækologi og obstetrik. De mellemstore og mindre fødesteder (&lt; 2000 fødsler) er meget afhængige af vagtberedskab i form af speciallæger med bred kompetence indenfor både gynækologi og obstetrik, ligesom vagthyppighed</w:t>
      </w:r>
      <w:r w:rsidR="00490F7F">
        <w:t>en på de afdelinger</w:t>
      </w:r>
      <w:r>
        <w:t xml:space="preserve"> kan være større, men belastningen som regel vil være mindre</w:t>
      </w:r>
      <w:r w:rsidR="00573A93">
        <w:t>,</w:t>
      </w:r>
      <w:r>
        <w:t xml:space="preserve"> end de store steder. </w:t>
      </w:r>
      <w:r w:rsidR="00490F7F">
        <w:t xml:space="preserve">Da </w:t>
      </w:r>
      <w:r w:rsidR="00737A7B">
        <w:t>d</w:t>
      </w:r>
      <w:r w:rsidR="00490F7F">
        <w:t>er nationalt er en del mindre fødesteder,</w:t>
      </w:r>
      <w:r>
        <w:t xml:space="preserve"> medfører</w:t>
      </w:r>
      <w:r w:rsidR="00490F7F">
        <w:t xml:space="preserve"> det</w:t>
      </w:r>
      <w:r>
        <w:t xml:space="preserve"> et fortsat behov for at fastholde gynækologi og obstetrik som et samlet speciale.</w:t>
      </w:r>
    </w:p>
    <w:p w14:paraId="2B030D67" w14:textId="178E86FB" w:rsidR="00816BA3" w:rsidRDefault="00816BA3" w:rsidP="00B3644F">
      <w:r>
        <w:t>Da vagtbelastningen på speciallægeniveau er stor i vore</w:t>
      </w:r>
      <w:r w:rsidR="00584230">
        <w:t>s</w:t>
      </w:r>
      <w:r>
        <w:t xml:space="preserve"> speciale, medfører det </w:t>
      </w:r>
      <w:r w:rsidR="00490F7F">
        <w:t xml:space="preserve">en </w:t>
      </w:r>
      <w:r>
        <w:t>betydelig følsomhed overfor aldersfordeling. De ældste speciallæger (overlæger</w:t>
      </w:r>
      <w:r w:rsidR="0020417B">
        <w:t xml:space="preserve"> </w:t>
      </w:r>
      <w:r w:rsidR="0020417B" w:rsidRPr="00E34779">
        <w:rPr>
          <w:u w:val="single"/>
        </w:rPr>
        <w:t>&gt;</w:t>
      </w:r>
      <w:r w:rsidR="0020417B">
        <w:t xml:space="preserve"> 60 år</w:t>
      </w:r>
      <w:r>
        <w:t>) har krav på 2 ugers ekstra frihed årligt, såfremt de fortsætter i vagt, hvilket kan være en nødvendighed</w:t>
      </w:r>
      <w:r w:rsidR="00611990">
        <w:t xml:space="preserve"> men presser afdelingerne, hvis de</w:t>
      </w:r>
      <w:r w:rsidR="00E34779">
        <w:t>r</w:t>
      </w:r>
      <w:r w:rsidR="00611990">
        <w:t xml:space="preserve"> er flere</w:t>
      </w:r>
      <w:r w:rsidR="00573A93">
        <w:t xml:space="preserve"> på samme afdeling</w:t>
      </w:r>
      <w:r w:rsidR="00611990">
        <w:t>.</w:t>
      </w:r>
      <w:r>
        <w:t xml:space="preserve"> Omvendt har de </w:t>
      </w:r>
      <w:r w:rsidR="00611990">
        <w:t>seniore</w:t>
      </w:r>
      <w:r w:rsidR="00E161ED">
        <w:t>r</w:t>
      </w:r>
      <w:r w:rsidR="00611990">
        <w:t xml:space="preserve"> overlæger </w:t>
      </w:r>
      <w:r>
        <w:t xml:space="preserve">mulighed for at frasige sig vagt, </w:t>
      </w:r>
      <w:r w:rsidR="0020417B">
        <w:t>hvilket</w:t>
      </w:r>
      <w:r>
        <w:t xml:space="preserve"> på mindre afdelinger med en skæv aldersfordeling vil være</w:t>
      </w:r>
      <w:r w:rsidR="00490F7F">
        <w:t xml:space="preserve"> -</w:t>
      </w:r>
      <w:r w:rsidR="00611990">
        <w:t xml:space="preserve"> og er</w:t>
      </w:r>
      <w:r>
        <w:t xml:space="preserve"> </w:t>
      </w:r>
      <w:r w:rsidR="005110B2">
        <w:t xml:space="preserve">- </w:t>
      </w:r>
      <w:r>
        <w:t>en udfordring.</w:t>
      </w:r>
    </w:p>
    <w:p w14:paraId="2C12062A" w14:textId="6D67A650" w:rsidR="00E34779" w:rsidRDefault="00611990" w:rsidP="00B3644F">
      <w:r>
        <w:t xml:space="preserve">For tiden er særligt fødeområdet hårdt presset af en generel jordemodermangel, der lægger pres på obstetrikerne. </w:t>
      </w:r>
      <w:r w:rsidR="008B6A0B">
        <w:t>Samtidig peger seneste befolkning</w:t>
      </w:r>
      <w:r w:rsidR="0020417B">
        <w:t>s</w:t>
      </w:r>
      <w:r w:rsidR="00A3086A">
        <w:t>prognose</w:t>
      </w:r>
      <w:r w:rsidR="008B6A0B">
        <w:t xml:space="preserve"> på en markant stigning i antal fødsler de næste 10 år</w:t>
      </w:r>
      <w:r w:rsidR="0020417B">
        <w:t xml:space="preserve"> på knapt 20%</w:t>
      </w:r>
      <w:r w:rsidR="00E84BC3">
        <w:t xml:space="preserve"> </w:t>
      </w:r>
      <w:r w:rsidR="00A95F71">
        <w:t>(</w:t>
      </w:r>
      <w:r w:rsidR="00A95F71">
        <w:fldChar w:fldCharType="begin"/>
      </w:r>
      <w:r w:rsidR="00A95F71">
        <w:instrText xml:space="preserve"> REF _Ref465370621 \h </w:instrText>
      </w:r>
      <w:r w:rsidR="00A95F71">
        <w:fldChar w:fldCharType="separate"/>
      </w:r>
      <w:r w:rsidR="00A95F71">
        <w:t xml:space="preserve">Figur </w:t>
      </w:r>
      <w:r w:rsidR="00A95F71">
        <w:rPr>
          <w:noProof/>
        </w:rPr>
        <w:t>5</w:t>
      </w:r>
      <w:r w:rsidR="00A95F71">
        <w:fldChar w:fldCharType="end"/>
      </w:r>
      <w:r w:rsidR="00A95F71">
        <w:t>)</w:t>
      </w:r>
      <w:r w:rsidR="008B6A0B">
        <w:t xml:space="preserve">. </w:t>
      </w:r>
      <w:r>
        <w:t>Om jordemodermanglen fortsat er til</w:t>
      </w:r>
      <w:r w:rsidR="00490F7F">
        <w:t xml:space="preserve"> </w:t>
      </w:r>
      <w:r>
        <w:t xml:space="preserve">stede om 10 år vides ikke, men vi gør opmærksom på, at det i betydelig grad påvirker obstetrikernes arbejdsforhold. </w:t>
      </w:r>
    </w:p>
    <w:p w14:paraId="2F25F572" w14:textId="6F8705C4" w:rsidR="00816BA3" w:rsidRDefault="00E34779" w:rsidP="00B3644F">
      <w:r>
        <w:t xml:space="preserve">Udover flere fødsler viser befolkningsprognosen også, at der kommer flere ældre. </w:t>
      </w:r>
      <w:r w:rsidR="001348A0">
        <w:t>Urogynækologiske komplikationer og</w:t>
      </w:r>
      <w:r w:rsidRPr="00E34779">
        <w:t xml:space="preserve"> cancertilfælde stiger med alderen</w:t>
      </w:r>
      <w:r w:rsidR="001348A0">
        <w:t>. hvorfor denne del af befolkningsudviklingen også får indflydelse på aktivitetsmængden for vores speciale med flere</w:t>
      </w:r>
      <w:r w:rsidRPr="00E34779">
        <w:t xml:space="preserve"> grad kirurgiske</w:t>
      </w:r>
      <w:r w:rsidR="001348A0">
        <w:t xml:space="preserve"> indgreb.</w:t>
      </w:r>
      <w:r w:rsidR="0020417B">
        <w:br/>
      </w:r>
    </w:p>
    <w:p w14:paraId="0C9C902C" w14:textId="16F69123" w:rsidR="00D5190A" w:rsidRPr="005A2DED" w:rsidRDefault="00D5190A" w:rsidP="00D5190A">
      <w:pPr>
        <w:rPr>
          <w:u w:val="single"/>
        </w:rPr>
      </w:pPr>
      <w:r w:rsidRPr="005A2DED">
        <w:rPr>
          <w:u w:val="single"/>
        </w:rPr>
        <w:t>Besvarelse af spørgsmål fra høringsmateriale vedrørende udbud og efterspørgsel</w:t>
      </w:r>
    </w:p>
    <w:p w14:paraId="72FB4704" w14:textId="431B7AAB" w:rsidR="00D5190A" w:rsidRDefault="00D5190A" w:rsidP="005A2DED">
      <w:pPr>
        <w:pStyle w:val="Listeafsnit"/>
        <w:numPr>
          <w:ilvl w:val="0"/>
          <w:numId w:val="4"/>
        </w:numPr>
        <w:rPr>
          <w:i/>
        </w:rPr>
      </w:pPr>
      <w:r w:rsidRPr="0000758E">
        <w:rPr>
          <w:i/>
        </w:rPr>
        <w:t>Hvordan opleves den nuværende balance mellem udbuddet og efterspørgslen på speciallæger? Er der forskel på regionsniveau?</w:t>
      </w:r>
    </w:p>
    <w:p w14:paraId="103DDD59" w14:textId="478847FD" w:rsidR="00F50DAB" w:rsidRPr="00F50DAB" w:rsidRDefault="00F50DAB" w:rsidP="00423492">
      <w:r>
        <w:lastRenderedPageBreak/>
        <w:t>Der redegøres for regionale forskelle under punkt 2.</w:t>
      </w:r>
    </w:p>
    <w:p w14:paraId="51027FC8" w14:textId="6DF03872" w:rsidR="00D5190A" w:rsidRPr="00C0580F" w:rsidRDefault="00D5190A" w:rsidP="005A2DED">
      <w:pPr>
        <w:pStyle w:val="Listeafsnit"/>
        <w:numPr>
          <w:ilvl w:val="1"/>
          <w:numId w:val="4"/>
        </w:numPr>
        <w:spacing w:after="200" w:line="276" w:lineRule="auto"/>
      </w:pPr>
      <w:r w:rsidRPr="005A2DED">
        <w:t xml:space="preserve">Der </w:t>
      </w:r>
      <w:r w:rsidR="00C8118E">
        <w:t>forventes en</w:t>
      </w:r>
      <w:r w:rsidRPr="005A2DED">
        <w:t xml:space="preserve"> ændret aldersprofil med en større gruppe yngre speciallæger </w:t>
      </w:r>
      <w:r w:rsidR="00C8118E">
        <w:t>som følge af</w:t>
      </w:r>
      <w:r w:rsidRPr="005A2DED">
        <w:t xml:space="preserve"> hurtigere forløb igennem uddannelsessystemet</w:t>
      </w:r>
      <w:r w:rsidR="00C8118E">
        <w:t xml:space="preserve"> </w:t>
      </w:r>
      <w:r w:rsidR="005122E8">
        <w:t>begrundet i</w:t>
      </w:r>
      <w:r w:rsidR="00C8118E">
        <w:t xml:space="preserve"> </w:t>
      </w:r>
      <w:r w:rsidR="005110B2">
        <w:t>fireårsreglen</w:t>
      </w:r>
      <w:r w:rsidR="00C8118E">
        <w:t>/</w:t>
      </w:r>
      <w:r w:rsidR="005110B2">
        <w:t>femårsfristen</w:t>
      </w:r>
      <w:r w:rsidRPr="005A2DED">
        <w:t xml:space="preserve">. Tendensen med senere reproduktion og barsel </w:t>
      </w:r>
      <w:r w:rsidR="00920EB1">
        <w:t>samt</w:t>
      </w:r>
      <w:r w:rsidRPr="005A2DED">
        <w:t xml:space="preserve"> et liv med mindre børn, vil i kvindedominerede </w:t>
      </w:r>
      <w:r w:rsidR="00490F7F">
        <w:t>specialer</w:t>
      </w:r>
      <w:r w:rsidRPr="005A2DED">
        <w:t xml:space="preserve"> som gynækolog</w:t>
      </w:r>
      <w:r>
        <w:t>i</w:t>
      </w:r>
      <w:r w:rsidRPr="005A2DED">
        <w:t xml:space="preserve"> og obstetrik </w:t>
      </w:r>
      <w:r w:rsidR="008C1377">
        <w:t xml:space="preserve">formentlig </w:t>
      </w:r>
      <w:r w:rsidRPr="005A2DED">
        <w:t xml:space="preserve">øge efterspørgslen efter </w:t>
      </w:r>
      <w:r w:rsidR="005122E8">
        <w:t>en reduceret</w:t>
      </w:r>
      <w:r w:rsidRPr="005A2DED">
        <w:t xml:space="preserve"> arbejdsuge. </w:t>
      </w:r>
      <w:r w:rsidR="004C6210" w:rsidRPr="005A2DED">
        <w:t xml:space="preserve">Der er en større bevidsthed om </w:t>
      </w:r>
      <w:r w:rsidR="00490F7F">
        <w:t>”</w:t>
      </w:r>
      <w:r w:rsidR="004C6210" w:rsidRPr="005A2DED">
        <w:t>work-life-balance</w:t>
      </w:r>
      <w:r w:rsidR="00490F7F">
        <w:t>”,</w:t>
      </w:r>
      <w:r w:rsidR="004C6210">
        <w:t xml:space="preserve"> og fra de ledende overlæger rapporteres</w:t>
      </w:r>
      <w:r w:rsidRPr="005A2DED">
        <w:t xml:space="preserve"> allerede </w:t>
      </w:r>
      <w:r w:rsidR="004C6210">
        <w:t xml:space="preserve">nu </w:t>
      </w:r>
      <w:r w:rsidR="004C6210" w:rsidRPr="00C0580F">
        <w:t>oftere ønske</w:t>
      </w:r>
      <w:r w:rsidRPr="00C0580F">
        <w:t xml:space="preserve"> om nedsat tid under </w:t>
      </w:r>
      <w:r w:rsidR="004C6210" w:rsidRPr="00C0580F">
        <w:t>hoveduddannelses</w:t>
      </w:r>
      <w:r w:rsidRPr="00C0580F">
        <w:t>forløb</w:t>
      </w:r>
      <w:r w:rsidR="00490F7F">
        <w:t>.</w:t>
      </w:r>
    </w:p>
    <w:p w14:paraId="67ED006F" w14:textId="4D9F7DA6" w:rsidR="00D5190A" w:rsidRDefault="00D5190A" w:rsidP="005A2DED">
      <w:pPr>
        <w:pStyle w:val="Listeafsnit"/>
        <w:numPr>
          <w:ilvl w:val="1"/>
          <w:numId w:val="4"/>
        </w:numPr>
        <w:spacing w:after="200" w:line="276" w:lineRule="auto"/>
      </w:pPr>
      <w:r w:rsidRPr="00C0580F">
        <w:t xml:space="preserve">Der </w:t>
      </w:r>
      <w:r w:rsidR="005122E8">
        <w:t>opleves</w:t>
      </w:r>
      <w:r w:rsidRPr="00C0580F">
        <w:t xml:space="preserve"> </w:t>
      </w:r>
      <w:r w:rsidR="004C6210" w:rsidRPr="0000758E">
        <w:t>blandt speciallæger</w:t>
      </w:r>
      <w:r w:rsidRPr="005A2DED">
        <w:t xml:space="preserve"> </w:t>
      </w:r>
      <w:r w:rsidR="00584230">
        <w:t xml:space="preserve">ligeledes </w:t>
      </w:r>
      <w:r w:rsidR="005122E8">
        <w:t xml:space="preserve">et stigende </w:t>
      </w:r>
      <w:r w:rsidRPr="005A2DED">
        <w:t xml:space="preserve">ønske om orlov </w:t>
      </w:r>
      <w:r w:rsidR="00AB52B3">
        <w:t xml:space="preserve">af forskellige årsager, blandt andet barsel og </w:t>
      </w:r>
      <w:r w:rsidRPr="005A2DED">
        <w:t xml:space="preserve">forskning, hvilket </w:t>
      </w:r>
      <w:r w:rsidR="00584230">
        <w:t>som ovenfor beskrevet</w:t>
      </w:r>
      <w:r w:rsidRPr="005A2DED">
        <w:t xml:space="preserve"> allerede er blevet synligt i </w:t>
      </w:r>
      <w:r w:rsidR="004C6210">
        <w:t>hoveduddannelses</w:t>
      </w:r>
      <w:r w:rsidRPr="005A2DED">
        <w:t xml:space="preserve">forløbet. </w:t>
      </w:r>
      <w:r w:rsidR="004C6210">
        <w:t>Dette øger efterspørgslen på speciallæger.</w:t>
      </w:r>
    </w:p>
    <w:p w14:paraId="7AA430ED" w14:textId="11563BD7" w:rsidR="009714DD" w:rsidRPr="005A2DED" w:rsidRDefault="009714DD" w:rsidP="00423492">
      <w:pPr>
        <w:pStyle w:val="Listeafsnit"/>
        <w:numPr>
          <w:ilvl w:val="1"/>
          <w:numId w:val="4"/>
        </w:numPr>
      </w:pPr>
      <w:r>
        <w:t xml:space="preserve">Den i </w:t>
      </w:r>
      <w:r w:rsidRPr="00DE4DE6">
        <w:t xml:space="preserve">lægeprognosen </w:t>
      </w:r>
      <w:r>
        <w:t>2015-2040 estimerede stigning på</w:t>
      </w:r>
      <w:r w:rsidRPr="00DE4DE6">
        <w:t xml:space="preserve"> 26</w:t>
      </w:r>
      <w:r>
        <w:t xml:space="preserve"> </w:t>
      </w:r>
      <w:r w:rsidRPr="00DE4DE6">
        <w:t>%</w:t>
      </w:r>
      <w:r>
        <w:t xml:space="preserve"> i </w:t>
      </w:r>
      <w:r w:rsidRPr="00DE4DE6">
        <w:t xml:space="preserve">andelen af speciallæger inden for vores speciale </w:t>
      </w:r>
      <w:r>
        <w:t>anfægtes, idet der med</w:t>
      </w:r>
      <w:r w:rsidRPr="00DE4DE6">
        <w:t xml:space="preserve"> den nuværende dimensionering af hoveduddan</w:t>
      </w:r>
      <w:r>
        <w:t>n</w:t>
      </w:r>
      <w:r w:rsidRPr="00DE4DE6">
        <w:t>elsesforløb</w:t>
      </w:r>
      <w:r>
        <w:t xml:space="preserve"> ikke kommer flere speciallæger, da der er ubesatte </w:t>
      </w:r>
      <w:r w:rsidR="00620854">
        <w:t>speciallægestillinger</w:t>
      </w:r>
      <w:r>
        <w:t xml:space="preserve"> og afgangen fra specialet vurderes større end tilgangen. Dette understøttes af</w:t>
      </w:r>
      <w:r w:rsidRPr="00DE4DE6">
        <w:t xml:space="preserve">, </w:t>
      </w:r>
      <w:r>
        <w:t>at der</w:t>
      </w:r>
      <w:r w:rsidRPr="00DE4DE6">
        <w:t xml:space="preserve"> allerede nu </w:t>
      </w:r>
      <w:r>
        <w:t>er</w:t>
      </w:r>
      <w:r w:rsidRPr="00DE4DE6">
        <w:t xml:space="preserve"> rekrutteringsproblemer</w:t>
      </w:r>
      <w:r>
        <w:t xml:space="preserve"> til speciallægeansættelser</w:t>
      </w:r>
      <w:r w:rsidRPr="00DE4DE6">
        <w:t>.</w:t>
      </w:r>
      <w:r>
        <w:t xml:space="preserve"> Rekrutteringsproblemer har muligvis været en medvirkende faktor til en stigende andel af overlæger i forhold til afdelingslæger. Således er speciallægefordelingen: 21% overlæger uden vagt; 58% af overlæger med vagt og 21% afdelingslæger.</w:t>
      </w:r>
    </w:p>
    <w:p w14:paraId="255F3398" w14:textId="40054C40" w:rsidR="00DE4DE6" w:rsidRDefault="00A271F2" w:rsidP="00C54D9C">
      <w:pPr>
        <w:pStyle w:val="Listeafsnit"/>
        <w:numPr>
          <w:ilvl w:val="1"/>
          <w:numId w:val="4"/>
        </w:numPr>
        <w:spacing w:after="200" w:line="276" w:lineRule="auto"/>
      </w:pPr>
      <w:r>
        <w:t xml:space="preserve">Med indførelse af </w:t>
      </w:r>
      <w:r w:rsidR="00C54D9C">
        <w:t>fireårsreglen/</w:t>
      </w:r>
      <w:r>
        <w:t xml:space="preserve">femårsfristen er prækursisttiden blevet kortere, hvilket potentielt kan medføre færre færdigheder som speciallæge. Det betyder, at en nyuddannet speciallæge i dag må forventes at skulle superviseres </w:t>
      </w:r>
      <w:r w:rsidR="00C54D9C">
        <w:t xml:space="preserve">i en kortere eller længere periode </w:t>
      </w:r>
      <w:r>
        <w:t>efter speciallægeanerkendelsen af mere erfarne kolleger</w:t>
      </w:r>
      <w:r w:rsidR="00C54D9C">
        <w:t>.</w:t>
      </w:r>
      <w:r>
        <w:t xml:space="preserve"> </w:t>
      </w:r>
      <w:r w:rsidR="00684FA7" w:rsidRPr="00684FA7">
        <w:t>Således har den nyu</w:t>
      </w:r>
      <w:r w:rsidR="00684FA7">
        <w:t>ddannede speciallæge tiltagende</w:t>
      </w:r>
      <w:r w:rsidR="00684FA7" w:rsidRPr="00684FA7">
        <w:t xml:space="preserve"> </w:t>
      </w:r>
      <w:r w:rsidR="001348A0">
        <w:t>behov</w:t>
      </w:r>
      <w:r w:rsidR="001348A0" w:rsidRPr="00684FA7">
        <w:t xml:space="preserve"> </w:t>
      </w:r>
      <w:r w:rsidR="00684FA7" w:rsidRPr="00684FA7">
        <w:t xml:space="preserve">for oplæring, da de opnåede kompetencer </w:t>
      </w:r>
      <w:r w:rsidR="00684FA7">
        <w:t xml:space="preserve">under speciallægeuddannelsen </w:t>
      </w:r>
      <w:r w:rsidR="00684FA7" w:rsidRPr="00684FA7">
        <w:t xml:space="preserve">ikke er på niveau med </w:t>
      </w:r>
      <w:r w:rsidR="00684FA7">
        <w:t>tidligere</w:t>
      </w:r>
      <w:r w:rsidR="00684FA7" w:rsidRPr="00684FA7">
        <w:t xml:space="preserve">. </w:t>
      </w:r>
      <w:r w:rsidR="001348A0">
        <w:t>S</w:t>
      </w:r>
      <w:r w:rsidR="00C54D9C">
        <w:t>peciallægers</w:t>
      </w:r>
      <w:r>
        <w:t xml:space="preserve"> arbejdsopgaver</w:t>
      </w:r>
      <w:r w:rsidR="00C54D9C">
        <w:t xml:space="preserve"> a</w:t>
      </w:r>
      <w:r w:rsidR="001348A0">
        <w:t>f</w:t>
      </w:r>
      <w:r w:rsidR="00C54D9C">
        <w:t xml:space="preserve"> ikke-patientrelateret karakter</w:t>
      </w:r>
      <w:r>
        <w:t>, både i det daglige arbejde og i den uddannelsesmæssige sammenhæng</w:t>
      </w:r>
      <w:r w:rsidR="00C54D9C">
        <w:t xml:space="preserve">, </w:t>
      </w:r>
      <w:r w:rsidR="001348A0">
        <w:t>er stigende</w:t>
      </w:r>
      <w:r>
        <w:t xml:space="preserve"> </w:t>
      </w:r>
      <w:r w:rsidR="001348A0">
        <w:t xml:space="preserve">og </w:t>
      </w:r>
      <w:r>
        <w:t>forventes at stige</w:t>
      </w:r>
      <w:r w:rsidR="001348A0">
        <w:t xml:space="preserve"> yderligere</w:t>
      </w:r>
      <w:r>
        <w:t xml:space="preserve">. Generelt er frafaldet under hoveduddannelse inden for vores speciale </w:t>
      </w:r>
      <w:r w:rsidR="00C54D9C">
        <w:t xml:space="preserve">dog </w:t>
      </w:r>
      <w:r>
        <w:t>minimalt, men det bør haves in mente ved en særlig stram dimensionering, som kun lige kan imødegå behovet.</w:t>
      </w:r>
    </w:p>
    <w:p w14:paraId="40EFC99F" w14:textId="29E85F21" w:rsidR="00DD2A33" w:rsidRDefault="009714DD" w:rsidP="00684FA7">
      <w:pPr>
        <w:pStyle w:val="Listeafsnit"/>
        <w:numPr>
          <w:ilvl w:val="1"/>
          <w:numId w:val="4"/>
        </w:numPr>
        <w:spacing w:after="200" w:line="276" w:lineRule="auto"/>
      </w:pPr>
      <w:r>
        <w:t>Udviklingen med krav om døgndækkende bemanding samt stigende krav i befolkningen om, at man straks tilses af speciallæge,</w:t>
      </w:r>
      <w:r w:rsidR="00153441">
        <w:t xml:space="preserve"> også ved akutte henvendelser, øger efterspørgsel på speciallæger til vagtbemanding, hvilket påvirker fremmøde af speciallæger i dagtid til varetagelse af elektiv patientbehandling</w:t>
      </w:r>
      <w:r w:rsidR="00DD2A33">
        <w:t>.</w:t>
      </w:r>
      <w:r w:rsidR="00DD2A33" w:rsidRPr="00DD2A33">
        <w:t xml:space="preserve"> </w:t>
      </w:r>
      <w:r w:rsidR="00DD2A33">
        <w:t>Samtidig vil det ændrede sygdomsmønster i befolkningen, men ”sund aldring” og nye behandlingstiltag øge efterspørgsel på flere gynækologisk-obstetriske speciallæger.</w:t>
      </w:r>
    </w:p>
    <w:p w14:paraId="6A8455FF" w14:textId="1ABC32A6" w:rsidR="009714DD" w:rsidRPr="00D5190A" w:rsidRDefault="00DD2A33" w:rsidP="00684FA7">
      <w:pPr>
        <w:pStyle w:val="Listeafsnit"/>
        <w:numPr>
          <w:ilvl w:val="1"/>
          <w:numId w:val="4"/>
        </w:numPr>
        <w:spacing w:after="200" w:line="276" w:lineRule="auto"/>
      </w:pPr>
      <w:r>
        <w:t>De stigende krav om at skulle foretage systematisk oplæring, supervision og kompetencevurdering i speciallægeuddannelsen giver ligeledes behov for at bemandingen af speciallæger øges.</w:t>
      </w:r>
    </w:p>
    <w:p w14:paraId="3150CC64" w14:textId="77777777" w:rsidR="00D43448" w:rsidRDefault="00D43448" w:rsidP="00D473CE">
      <w:pPr>
        <w:ind w:left="720"/>
      </w:pPr>
    </w:p>
    <w:p w14:paraId="0EB0FDDC" w14:textId="0BCE16A9" w:rsidR="00D5190A" w:rsidRPr="00D473CE" w:rsidRDefault="00D5190A" w:rsidP="00D43448">
      <w:pPr>
        <w:pStyle w:val="Listeafsnit"/>
        <w:numPr>
          <w:ilvl w:val="0"/>
          <w:numId w:val="4"/>
        </w:numPr>
        <w:rPr>
          <w:i/>
        </w:rPr>
      </w:pPr>
      <w:r w:rsidRPr="00D473CE">
        <w:rPr>
          <w:i/>
        </w:rPr>
        <w:t>Er der særlige kommunale og/eller regionale forskelle i efterspørgslen og udbuddet, som den kommende dimensioneringsplan skal tage højde for?</w:t>
      </w:r>
    </w:p>
    <w:p w14:paraId="7485E1CF" w14:textId="3051AF62" w:rsidR="00880EC1" w:rsidRDefault="00880EC1" w:rsidP="00880EC1">
      <w:pPr>
        <w:pStyle w:val="Listeafsnit"/>
        <w:numPr>
          <w:ilvl w:val="1"/>
          <w:numId w:val="4"/>
        </w:numPr>
      </w:pPr>
      <w:r>
        <w:lastRenderedPageBreak/>
        <w:t xml:space="preserve">Regionale forskelle: </w:t>
      </w:r>
      <w:r w:rsidRPr="00880EC1">
        <w:t>I Videreuddannelsesregion</w:t>
      </w:r>
      <w:r w:rsidR="00B572D5">
        <w:t xml:space="preserve"> (VUR)</w:t>
      </w:r>
      <w:r w:rsidRPr="00880EC1">
        <w:t xml:space="preserve"> Ø</w:t>
      </w:r>
      <w:r w:rsidRPr="0052184B">
        <w:t xml:space="preserve">st </w:t>
      </w:r>
      <w:r w:rsidRPr="00880EC1">
        <w:t>ha</w:t>
      </w:r>
      <w:r w:rsidRPr="00636E6A">
        <w:t xml:space="preserve">r </w:t>
      </w:r>
      <w:r>
        <w:t>en høj andel</w:t>
      </w:r>
      <w:r w:rsidR="0020417B">
        <w:t xml:space="preserve"> af de</w:t>
      </w:r>
      <w:r w:rsidRPr="00636E6A">
        <w:t xml:space="preserve"> der søger hoveduddannelsesforløb en ph.d. Det er i modsætning til den øvrige del af landet</w:t>
      </w:r>
      <w:r>
        <w:t>, hvor</w:t>
      </w:r>
      <w:r w:rsidRPr="00636E6A">
        <w:t xml:space="preserve"> </w:t>
      </w:r>
      <w:r w:rsidR="00620854">
        <w:t xml:space="preserve">der derimod er flere som søger et </w:t>
      </w:r>
      <w:r w:rsidRPr="00636E6A">
        <w:t>ph.d.-forløb under hoveduddannelse</w:t>
      </w:r>
      <w:r w:rsidR="00620854">
        <w:t>n</w:t>
      </w:r>
      <w:r w:rsidRPr="00636E6A">
        <w:t xml:space="preserve"> eller </w:t>
      </w:r>
      <w:r>
        <w:t xml:space="preserve">lige </w:t>
      </w:r>
      <w:r w:rsidRPr="00636E6A">
        <w:t>efter endt speciallægeanerkendelse</w:t>
      </w:r>
      <w:r>
        <w:t xml:space="preserve">. </w:t>
      </w:r>
      <w:r w:rsidR="0052184B">
        <w:t xml:space="preserve">Det afspejler sig i en meget lav andel af speciallæger under 40 år og en lidt højere andel over 60 år i øst. Med den høje andel af kvinder, der vælger specialet, forventes at flere i VUR Syd og Nord får børn under hoveduddannelsesforløb med deraf afledte længere forløb. </w:t>
      </w:r>
      <w:r>
        <w:t>Det har på kort</w:t>
      </w:r>
      <w:r w:rsidR="0052184B">
        <w:t>ere</w:t>
      </w:r>
      <w:r>
        <w:t xml:space="preserve"> sigt indflydelse på ratioen af tilgangen af speciallæger i forhold til afgangen, som vil være lavest på Fyn og i Jylland</w:t>
      </w:r>
      <w:r w:rsidR="0052184B">
        <w:t xml:space="preserve">. Samtidig vil de opbrudte forløb resultere i en uensartet bemanding med perioder med øget belastning for speciallægerne pga. udækkede </w:t>
      </w:r>
      <w:r w:rsidR="00BC36B1">
        <w:t xml:space="preserve">hoveduddannelsesforløb, </w:t>
      </w:r>
      <w:r w:rsidR="0052184B">
        <w:t>og andre perioder med uddannelsesmæssige udfordringer pga. mange læger i hoveduddannelsesforløb</w:t>
      </w:r>
      <w:r w:rsidR="00BC36B1">
        <w:t xml:space="preserve"> samme sted</w:t>
      </w:r>
      <w:r w:rsidR="0052184B">
        <w:t xml:space="preserve">. </w:t>
      </w:r>
    </w:p>
    <w:p w14:paraId="74B2848B" w14:textId="31758F43" w:rsidR="00D473CE" w:rsidRDefault="00880EC1" w:rsidP="00D473CE">
      <w:pPr>
        <w:pStyle w:val="Listeafsnit"/>
        <w:numPr>
          <w:ilvl w:val="1"/>
          <w:numId w:val="4"/>
        </w:numPr>
      </w:pPr>
      <w:r>
        <w:rPr>
          <w:b/>
        </w:rPr>
        <w:t xml:space="preserve">Specifikt for </w:t>
      </w:r>
      <w:r w:rsidR="00D473CE" w:rsidRPr="0052184B">
        <w:rPr>
          <w:b/>
        </w:rPr>
        <w:t>Videreuddannelsesregion Nord:</w:t>
      </w:r>
      <w:r w:rsidR="00D473CE">
        <w:t xml:space="preserve"> </w:t>
      </w:r>
      <w:r w:rsidR="00D473CE" w:rsidRPr="00C0580F">
        <w:t>Det opleves</w:t>
      </w:r>
      <w:r w:rsidR="00B572D5">
        <w:t>,</w:t>
      </w:r>
      <w:r w:rsidR="00D473CE" w:rsidRPr="00C0580F">
        <w:t xml:space="preserve"> at en del </w:t>
      </w:r>
      <w:r w:rsidR="00D473CE" w:rsidRPr="0000758E">
        <w:t>introduktions</w:t>
      </w:r>
      <w:r w:rsidR="00D473CE" w:rsidRPr="00C0580F">
        <w:t xml:space="preserve">læger i specialet ikke fortsætter i hoveduddannelsesforløb. Der er således brug for flere </w:t>
      </w:r>
      <w:r w:rsidR="00D473CE" w:rsidRPr="0000758E">
        <w:t>introduktions</w:t>
      </w:r>
      <w:r w:rsidR="00D473CE" w:rsidRPr="00C0580F">
        <w:t xml:space="preserve">læger for at sikre fødekæden ind i speciallægeuddannelsen, </w:t>
      </w:r>
      <w:r w:rsidR="00D473CE" w:rsidRPr="0000758E">
        <w:t>og derved</w:t>
      </w:r>
      <w:r w:rsidR="00D473CE" w:rsidRPr="00C0580F">
        <w:t xml:space="preserve"> sikre</w:t>
      </w:r>
      <w:r w:rsidR="00BC36B1">
        <w:t>,</w:t>
      </w:r>
      <w:r w:rsidR="00D473CE" w:rsidRPr="00C0580F">
        <w:t xml:space="preserve"> at produktionen af speciallæger kan opretholdes.</w:t>
      </w:r>
      <w:r w:rsidR="00B572D5" w:rsidRPr="00B572D5">
        <w:t xml:space="preserve"> </w:t>
      </w:r>
      <w:r w:rsidR="00B572D5">
        <w:t xml:space="preserve">Der arbejdes derfor på en stigning i antal </w:t>
      </w:r>
      <w:r w:rsidR="00B572D5" w:rsidRPr="00C0580F">
        <w:t xml:space="preserve">introduktionsuddannelser fra </w:t>
      </w:r>
      <w:r w:rsidR="00F50DAB">
        <w:t xml:space="preserve">en ratio på </w:t>
      </w:r>
      <w:r w:rsidR="00B572D5" w:rsidRPr="00C0580F">
        <w:t xml:space="preserve">1,5:1 </w:t>
      </w:r>
      <w:r w:rsidR="00F50DAB">
        <w:t xml:space="preserve">for </w:t>
      </w:r>
      <w:r w:rsidR="00B572D5" w:rsidRPr="00C0580F">
        <w:t>intro</w:t>
      </w:r>
      <w:r w:rsidR="00F50DAB">
        <w:t xml:space="preserve">duktionsuddannelsesforløb i forhold til </w:t>
      </w:r>
      <w:r w:rsidR="00B572D5" w:rsidRPr="00C0580F">
        <w:t>hoveduddannelse</w:t>
      </w:r>
      <w:r w:rsidR="00F50DAB">
        <w:t>sforløb</w:t>
      </w:r>
      <w:r w:rsidR="00B572D5" w:rsidRPr="00C0580F">
        <w:t xml:space="preserve"> til </w:t>
      </w:r>
      <w:r w:rsidR="00F50DAB">
        <w:t xml:space="preserve">en ration på </w:t>
      </w:r>
      <w:r w:rsidR="00B572D5" w:rsidRPr="00C0580F">
        <w:t>2-2,5:1.</w:t>
      </w:r>
      <w:r w:rsidR="00682B5E">
        <w:t xml:space="preserve"> </w:t>
      </w:r>
    </w:p>
    <w:p w14:paraId="26152818" w14:textId="520575EF" w:rsidR="00636E6A" w:rsidRDefault="00880EC1" w:rsidP="00D473CE">
      <w:pPr>
        <w:pStyle w:val="Listeafsnit"/>
        <w:numPr>
          <w:ilvl w:val="1"/>
          <w:numId w:val="4"/>
        </w:numPr>
      </w:pPr>
      <w:r>
        <w:rPr>
          <w:b/>
        </w:rPr>
        <w:t xml:space="preserve">Specifikt for </w:t>
      </w:r>
      <w:r w:rsidR="00D473CE" w:rsidRPr="001F0084">
        <w:rPr>
          <w:b/>
        </w:rPr>
        <w:t xml:space="preserve">Videreuddannelsesregion </w:t>
      </w:r>
      <w:r w:rsidR="00636E6A" w:rsidRPr="00374CCF">
        <w:rPr>
          <w:b/>
        </w:rPr>
        <w:t>Syd</w:t>
      </w:r>
      <w:r w:rsidR="00636E6A">
        <w:t xml:space="preserve">: Ifølge lægeprognosen får læger </w:t>
      </w:r>
      <w:r w:rsidR="00D11F58">
        <w:t xml:space="preserve">ofte </w:t>
      </w:r>
      <w:r w:rsidR="00636E6A">
        <w:t>job, hvor de er uddannede</w:t>
      </w:r>
      <w:r w:rsidR="005D57B6">
        <w:t>.</w:t>
      </w:r>
      <w:r w:rsidR="00636E6A">
        <w:t xml:space="preserve"> </w:t>
      </w:r>
      <w:r w:rsidR="00105AE1">
        <w:t>D</w:t>
      </w:r>
      <w:r w:rsidR="00636E6A">
        <w:t xml:space="preserve">er </w:t>
      </w:r>
      <w:r w:rsidR="00105AE1">
        <w:t>er dog en</w:t>
      </w:r>
      <w:r w:rsidR="00636E6A">
        <w:t xml:space="preserve"> tendens til at flytte væk fra Region Syd på grund af den centrale geografiske beliggenhed</w:t>
      </w:r>
      <w:r>
        <w:t>.</w:t>
      </w:r>
      <w:r w:rsidR="00105AE1">
        <w:t xml:space="preserve"> </w:t>
      </w:r>
      <w:r w:rsidR="001F0084">
        <w:t xml:space="preserve">Den geografiske placering og </w:t>
      </w:r>
      <w:r w:rsidR="00620854">
        <w:t>a</w:t>
      </w:r>
      <w:r w:rsidR="001348A0">
        <w:t>f</w:t>
      </w:r>
      <w:r w:rsidR="00620854">
        <w:t>standen mellem</w:t>
      </w:r>
      <w:r w:rsidR="001F0084">
        <w:t xml:space="preserve"> regionens uddannelsessteder vurderes at være medvirkende årsag til</w:t>
      </w:r>
      <w:r w:rsidR="00105AE1">
        <w:t xml:space="preserve"> færre ansøgninger til </w:t>
      </w:r>
      <w:r w:rsidR="001F0084">
        <w:t xml:space="preserve">regionens </w:t>
      </w:r>
      <w:r w:rsidR="00105AE1">
        <w:t xml:space="preserve">hoveduddannelsesforløb. Ydermere er der sammenhæng mellem sidste del af uddannelsens geografiske placering og efterfølgende ansættelse som nyuddannet speciallæge samme sted, hvilket medfører en relativ mangel på nyuddannede speciallæger på </w:t>
      </w:r>
      <w:r w:rsidR="00B572D5">
        <w:t xml:space="preserve">VUR Syds </w:t>
      </w:r>
      <w:r w:rsidR="00105AE1">
        <w:t xml:space="preserve">universitetshospital, da sidste fase i hoveduddannelsen er på </w:t>
      </w:r>
      <w:r>
        <w:t xml:space="preserve">en af </w:t>
      </w:r>
      <w:r w:rsidR="001F0084">
        <w:t>de</w:t>
      </w:r>
      <w:r>
        <w:t xml:space="preserve"> </w:t>
      </w:r>
      <w:r w:rsidR="0041620B">
        <w:t>perifer</w:t>
      </w:r>
      <w:r>
        <w:t>e</w:t>
      </w:r>
      <w:r w:rsidR="0041620B">
        <w:t xml:space="preserve"> </w:t>
      </w:r>
      <w:r w:rsidR="00CA332D">
        <w:t>sygehus</w:t>
      </w:r>
      <w:r>
        <w:t>e</w:t>
      </w:r>
      <w:r w:rsidR="00105AE1">
        <w:t xml:space="preserve">. Trods stor øgning i antal beskæftigede læger i </w:t>
      </w:r>
      <w:r w:rsidR="00B572D5">
        <w:t xml:space="preserve">VUR </w:t>
      </w:r>
      <w:r w:rsidR="00105AE1">
        <w:t xml:space="preserve">Syd, er der stadig vakante stillinger i gynækologi og obstetrik, både på universitetsafdeling og på de perifere sygehuse. </w:t>
      </w:r>
    </w:p>
    <w:p w14:paraId="46C2E8EE" w14:textId="25F3786F" w:rsidR="009714DD" w:rsidRDefault="001F0084" w:rsidP="009714DD">
      <w:pPr>
        <w:pStyle w:val="Listeafsnit"/>
        <w:ind w:left="1080"/>
      </w:pPr>
      <w:r w:rsidRPr="00C07922">
        <w:rPr>
          <w:b/>
        </w:rPr>
        <w:t>Specifikt for Videreuddannelsesregion Øst</w:t>
      </w:r>
      <w:r>
        <w:t xml:space="preserve">: </w:t>
      </w:r>
      <w:r w:rsidR="00B549F2">
        <w:t xml:space="preserve">Aktuelt er det vanskeligt at rekruttere til speciallægestillinger på de fleste afdelinger i </w:t>
      </w:r>
      <w:r w:rsidR="00B572D5">
        <w:t>VUR</w:t>
      </w:r>
      <w:r w:rsidR="00B549F2">
        <w:t xml:space="preserve"> </w:t>
      </w:r>
      <w:r w:rsidR="00B572D5">
        <w:t>Ø</w:t>
      </w:r>
      <w:r w:rsidR="00B549F2">
        <w:t xml:space="preserve">st. Dette illustreres af at nyuddannede speciallæger </w:t>
      </w:r>
      <w:r w:rsidR="0020417B">
        <w:t>fast</w:t>
      </w:r>
      <w:r w:rsidR="00B549F2">
        <w:t xml:space="preserve">ansættes 3-6 måneder før de </w:t>
      </w:r>
      <w:r w:rsidR="00BC36B1">
        <w:t>har gennemført hele</w:t>
      </w:r>
      <w:r w:rsidR="00B572D5">
        <w:t xml:space="preserve"> hoveduddannelsesforløbet</w:t>
      </w:r>
      <w:r w:rsidR="00B549F2">
        <w:t>, også på de større og højt specialiserede afdelinger. I Region Sjælland er alderssammensætningen af speciallægerne højere end i de øvrige regioner, og i Region H</w:t>
      </w:r>
      <w:r w:rsidR="00BC36B1">
        <w:t>ovedstaden</w:t>
      </w:r>
      <w:r w:rsidR="00B549F2">
        <w:t xml:space="preserve"> er den næsthøjest.  De</w:t>
      </w:r>
      <w:r w:rsidR="005446CE">
        <w:t>t</w:t>
      </w:r>
      <w:r w:rsidR="00B549F2">
        <w:t xml:space="preserve"> vil således på kort sigt give et yderligere behov for flere speciallæger i </w:t>
      </w:r>
      <w:r w:rsidR="00B572D5">
        <w:t xml:space="preserve">VUR </w:t>
      </w:r>
      <w:r w:rsidR="00B549F2">
        <w:t>Øst.</w:t>
      </w:r>
      <w:r w:rsidR="00C07922">
        <w:t xml:space="preserve"> </w:t>
      </w:r>
      <w:r w:rsidR="00B549F2">
        <w:t xml:space="preserve">Der er ikke forventning om fusioner eller nedlæggelse af flere gynækologisk-obstetriske afdelinger i </w:t>
      </w:r>
      <w:r w:rsidR="00B572D5">
        <w:t>VUR Ø</w:t>
      </w:r>
      <w:r w:rsidR="00B549F2">
        <w:t>st, hvorfor der ikke af den vej kan forventes anden udnyttelse af de eksisterende speciallæger.</w:t>
      </w:r>
      <w:r w:rsidR="00C07922">
        <w:t xml:space="preserve"> </w:t>
      </w:r>
      <w:r w:rsidR="00B549F2">
        <w:t xml:space="preserve">Der er kapacitet til flere uddannelsesstillinger i </w:t>
      </w:r>
      <w:r w:rsidR="00B572D5">
        <w:t>VUR Ø</w:t>
      </w:r>
      <w:r w:rsidR="00B549F2">
        <w:t>st. Den kirurgisk operative oplæring er dog begrænset i forhold til tidligere. Det er et faktum at ny viden gør</w:t>
      </w:r>
      <w:r w:rsidR="00BC36B1">
        <w:t>,</w:t>
      </w:r>
      <w:r w:rsidR="00B549F2">
        <w:t xml:space="preserve"> at behandlinger ændres fra kirurgiske til medici</w:t>
      </w:r>
      <w:r w:rsidR="00C07922">
        <w:t>n</w:t>
      </w:r>
      <w:r w:rsidR="00B549F2">
        <w:t xml:space="preserve">ske tiltag. </w:t>
      </w:r>
      <w:r w:rsidR="00BC36B1">
        <w:t>Det er e</w:t>
      </w:r>
      <w:r w:rsidR="00B549F2">
        <w:t xml:space="preserve">n forudsætning </w:t>
      </w:r>
      <w:r w:rsidR="00BC36B1">
        <w:t xml:space="preserve">at kunne opnå dele af kompetencerne på anden vis </w:t>
      </w:r>
      <w:r w:rsidR="00B549F2">
        <w:t xml:space="preserve">for i tilstrækkelig grad at imødekomme den kirurgiske oplæring. En involvering af speciallægepraksis i nogle hoveduddannelsesforløb vil i </w:t>
      </w:r>
      <w:r w:rsidR="00A74133">
        <w:t>VUR Ø</w:t>
      </w:r>
      <w:r w:rsidR="00B549F2">
        <w:t>st kunne give et bidrag til at øge uddannelseskapaciteten.</w:t>
      </w:r>
      <w:r w:rsidR="009714DD" w:rsidRPr="009714DD">
        <w:t xml:space="preserve"> </w:t>
      </w:r>
      <w:r w:rsidR="009714DD">
        <w:t xml:space="preserve">Der forventes ikke væsentlige ændringer i specialeplanen i forhold til funktionsniveau, som kan få markant betydning for efterspørgslen af speciallæger. Generelt forventes øget efterspørgsel på flere gynækologisk-obstetriske speciallæger i VUR Øst. Der ses i tiltagende grad at speciallæger i Øst at ønsker nedsat tid, mulighed for at være vagtfri eller ophør med at arbejde </w:t>
      </w:r>
      <w:r w:rsidR="009714DD">
        <w:lastRenderedPageBreak/>
        <w:t xml:space="preserve">som 65-årige eller før. Det forhold at specialet efterhånden består af overvejende kvinder </w:t>
      </w:r>
      <w:r w:rsidR="00620854">
        <w:t>vil</w:t>
      </w:r>
      <w:r w:rsidR="009714DD">
        <w:t xml:space="preserve"> </w:t>
      </w:r>
      <w:r w:rsidR="00BA088D">
        <w:t xml:space="preserve">øge </w:t>
      </w:r>
      <w:r w:rsidR="009714DD">
        <w:t>dette forhold</w:t>
      </w:r>
      <w:r w:rsidR="00BA088D">
        <w:t xml:space="preserve"> og </w:t>
      </w:r>
      <w:r w:rsidR="009714DD">
        <w:t>medføre behov for flere speciallæger.</w:t>
      </w:r>
    </w:p>
    <w:p w14:paraId="0C56B630" w14:textId="0A1D8D97" w:rsidR="00D43448" w:rsidRDefault="00F50DAB" w:rsidP="005A2DED">
      <w:pPr>
        <w:pStyle w:val="Listeafsnit"/>
        <w:numPr>
          <w:ilvl w:val="1"/>
          <w:numId w:val="4"/>
        </w:numPr>
      </w:pPr>
      <w:r w:rsidRPr="00C07922">
        <w:rPr>
          <w:b/>
        </w:rPr>
        <w:t xml:space="preserve">Specifikt for </w:t>
      </w:r>
      <w:r>
        <w:rPr>
          <w:b/>
        </w:rPr>
        <w:t>S</w:t>
      </w:r>
      <w:r w:rsidR="00DE4DE6" w:rsidRPr="00CA332D">
        <w:rPr>
          <w:b/>
        </w:rPr>
        <w:t>peciallægepraksis</w:t>
      </w:r>
      <w:r w:rsidR="00DE4DE6">
        <w:t xml:space="preserve">: </w:t>
      </w:r>
      <w:r w:rsidR="00353BB3">
        <w:t xml:space="preserve">Trods lange ventetider ved henvisning til speciallægepraksis i </w:t>
      </w:r>
      <w:r>
        <w:t>Region N</w:t>
      </w:r>
      <w:r w:rsidR="00353BB3">
        <w:t>ord</w:t>
      </w:r>
      <w:r>
        <w:t xml:space="preserve"> og antallet af speciallægepraksis i forhold til befolkningsgrundladet er lavest i Nord</w:t>
      </w:r>
      <w:r w:rsidR="00353BB3">
        <w:t xml:space="preserve"> forventes ikke ændringer i antallet af gynækologisk speciallægepraksis. </w:t>
      </w:r>
    </w:p>
    <w:p w14:paraId="5237947B" w14:textId="7145A653" w:rsidR="00DE4DE6" w:rsidRDefault="00DE4DE6" w:rsidP="00D473CE">
      <w:pPr>
        <w:ind w:left="720"/>
      </w:pPr>
    </w:p>
    <w:p w14:paraId="2B5F578D" w14:textId="39A98C62" w:rsidR="00D5190A" w:rsidRPr="00D473CE" w:rsidRDefault="00D5190A" w:rsidP="009466E8">
      <w:pPr>
        <w:pStyle w:val="Listeafsnit"/>
        <w:numPr>
          <w:ilvl w:val="0"/>
          <w:numId w:val="4"/>
        </w:numPr>
        <w:spacing w:before="240"/>
        <w:rPr>
          <w:i/>
        </w:rPr>
      </w:pPr>
      <w:r w:rsidRPr="00D473CE">
        <w:rPr>
          <w:i/>
        </w:rPr>
        <w:t>Vurderes udviklingen i efterspørgslen af speciallæger de kommende år at være større eller mindre end det forventede udbud, jf. hovedscenariet Figur 10? Med hvilken begrundelse? I vurderingen af efterspørgslen bedes foretaget en opdeling på funktionsniveau, således at det belyses, hvor stor en andel af speciallægerne, der fremadrettet forventes at være beskæftiget på hovedfunktionsniveau, regionsfunktionsniveau samt højt specialiseret funktionsniveau.</w:t>
      </w:r>
    </w:p>
    <w:p w14:paraId="387B4F1D" w14:textId="2E24FEEB" w:rsidR="00636E6A" w:rsidRDefault="00ED2E42" w:rsidP="00ED2E42">
      <w:pPr>
        <w:pStyle w:val="Listeafsnit"/>
        <w:numPr>
          <w:ilvl w:val="1"/>
          <w:numId w:val="4"/>
        </w:numPr>
      </w:pPr>
      <w:r>
        <w:t>Andelen af speciallæger over 60 år udgør 16%</w:t>
      </w:r>
      <w:r w:rsidR="00F50DAB">
        <w:t xml:space="preserve"> (</w:t>
      </w:r>
      <w:r w:rsidR="00F50DAB">
        <w:fldChar w:fldCharType="begin"/>
      </w:r>
      <w:r w:rsidR="00F50DAB">
        <w:instrText xml:space="preserve"> REF _Ref463382277 \h </w:instrText>
      </w:r>
      <w:r w:rsidR="00F50DAB">
        <w:fldChar w:fldCharType="separate"/>
      </w:r>
      <w:r w:rsidR="00F50DAB">
        <w:t xml:space="preserve">Figur </w:t>
      </w:r>
      <w:r w:rsidR="00F50DAB">
        <w:rPr>
          <w:noProof/>
        </w:rPr>
        <w:t>2</w:t>
      </w:r>
      <w:r w:rsidR="00F50DAB">
        <w:fldChar w:fldCharType="end"/>
      </w:r>
      <w:r w:rsidR="00F50DAB">
        <w:t>)</w:t>
      </w:r>
      <w:r>
        <w:t xml:space="preserve">. </w:t>
      </w:r>
      <w:r w:rsidR="00636E6A">
        <w:t>De</w:t>
      </w:r>
      <w:r>
        <w:t>nne</w:t>
      </w:r>
      <w:r w:rsidR="00636E6A">
        <w:t xml:space="preserve"> andel af </w:t>
      </w:r>
      <w:r w:rsidR="005122E8">
        <w:t>seniore</w:t>
      </w:r>
      <w:r w:rsidR="00CA332D">
        <w:t>r</w:t>
      </w:r>
      <w:r w:rsidR="00636E6A">
        <w:t xml:space="preserve"> speciallæger</w:t>
      </w:r>
      <w:r>
        <w:t xml:space="preserve"> </w:t>
      </w:r>
      <w:r w:rsidR="00636E6A">
        <w:t xml:space="preserve">forventes at gå på pension inden for </w:t>
      </w:r>
      <w:r w:rsidR="002D0CDE">
        <w:t xml:space="preserve">relativt </w:t>
      </w:r>
      <w:r w:rsidR="00636E6A">
        <w:t>få år. Høj alder</w:t>
      </w:r>
      <w:r>
        <w:t>,</w:t>
      </w:r>
      <w:r w:rsidR="00636E6A">
        <w:t xml:space="preserve"> </w:t>
      </w:r>
      <w:r w:rsidR="005122E8">
        <w:t>øget</w:t>
      </w:r>
      <w:r w:rsidR="00636E6A">
        <w:t xml:space="preserve"> vagtbelastning</w:t>
      </w:r>
      <w:r>
        <w:t xml:space="preserve"> og flere kvindelige speciallæger med forventet lavere pensionsalder (ref. Lægeprognosen 2015-2040)</w:t>
      </w:r>
      <w:r w:rsidR="00636E6A">
        <w:t xml:space="preserve"> kan </w:t>
      </w:r>
      <w:r w:rsidR="005122E8">
        <w:t>endvidere</w:t>
      </w:r>
      <w:r w:rsidR="00636E6A">
        <w:t xml:space="preserve"> øge efterspørgsel på seniorordninger.</w:t>
      </w:r>
      <w:r>
        <w:t xml:space="preserve"> </w:t>
      </w:r>
      <w:r w:rsidR="00636E6A" w:rsidRPr="00636E6A">
        <w:t>Det er u</w:t>
      </w:r>
      <w:r>
        <w:t>vis</w:t>
      </w:r>
      <w:r w:rsidR="00636E6A" w:rsidRPr="00636E6A">
        <w:t>t</w:t>
      </w:r>
      <w:r w:rsidR="002D0CDE">
        <w:t>,</w:t>
      </w:r>
      <w:r w:rsidR="00636E6A" w:rsidRPr="00636E6A">
        <w:t xml:space="preserve"> om den </w:t>
      </w:r>
      <w:r w:rsidR="005122E8">
        <w:t>af regeringen</w:t>
      </w:r>
      <w:r w:rsidR="00636E6A" w:rsidRPr="00636E6A">
        <w:t xml:space="preserve"> øgede pensionsalder medfører</w:t>
      </w:r>
      <w:r w:rsidR="005122E8">
        <w:t>,</w:t>
      </w:r>
      <w:r w:rsidR="00636E6A" w:rsidRPr="00636E6A">
        <w:t xml:space="preserve"> at flere bliver længere på arbejdsmarkedet, eller om der bliver sparet op til tidligere pension.</w:t>
      </w:r>
    </w:p>
    <w:p w14:paraId="083A0AD0" w14:textId="11224FC5" w:rsidR="00DD2A33" w:rsidRDefault="00FD0D01" w:rsidP="00423492">
      <w:pPr>
        <w:pStyle w:val="Listeafsnit"/>
        <w:numPr>
          <w:ilvl w:val="1"/>
          <w:numId w:val="4"/>
        </w:numPr>
      </w:pPr>
      <w:r w:rsidRPr="00FD0D01">
        <w:t xml:space="preserve">Specialet dækker 6 subspecialer: 27% af speciallægefuldtidsstillinger er i </w:t>
      </w:r>
      <w:r w:rsidRPr="00CA332D">
        <w:rPr>
          <w:b/>
        </w:rPr>
        <w:t>obstetrik,</w:t>
      </w:r>
      <w:r w:rsidRPr="00FD0D01">
        <w:t xml:space="preserve"> 26% i </w:t>
      </w:r>
      <w:r w:rsidRPr="00CA332D">
        <w:rPr>
          <w:b/>
        </w:rPr>
        <w:t>benign gynækologi</w:t>
      </w:r>
      <w:r w:rsidRPr="00FD0D01">
        <w:t xml:space="preserve">, 10% </w:t>
      </w:r>
      <w:r w:rsidRPr="00CA332D">
        <w:rPr>
          <w:b/>
        </w:rPr>
        <w:t>i føtalmedicin</w:t>
      </w:r>
      <w:r w:rsidRPr="00FD0D01">
        <w:t xml:space="preserve">, 13% </w:t>
      </w:r>
      <w:r w:rsidR="00BD7313">
        <w:t xml:space="preserve">i </w:t>
      </w:r>
      <w:r w:rsidRPr="00CA332D">
        <w:rPr>
          <w:b/>
        </w:rPr>
        <w:t>urogynækologi</w:t>
      </w:r>
      <w:r w:rsidRPr="00FD0D01">
        <w:t xml:space="preserve">, 10% </w:t>
      </w:r>
      <w:r w:rsidR="00BD7313">
        <w:t xml:space="preserve">i </w:t>
      </w:r>
      <w:r w:rsidR="00BD7313" w:rsidRPr="00CA332D">
        <w:rPr>
          <w:b/>
        </w:rPr>
        <w:t xml:space="preserve">gynækologisk </w:t>
      </w:r>
      <w:r w:rsidRPr="00CA332D">
        <w:rPr>
          <w:b/>
        </w:rPr>
        <w:t>onkologi</w:t>
      </w:r>
      <w:r w:rsidRPr="00FD0D01">
        <w:t xml:space="preserve">, 11% </w:t>
      </w:r>
      <w:r w:rsidR="00BD7313">
        <w:t xml:space="preserve">i </w:t>
      </w:r>
      <w:r w:rsidRPr="00CA332D">
        <w:rPr>
          <w:b/>
        </w:rPr>
        <w:t>fertilitet</w:t>
      </w:r>
      <w:r w:rsidR="002D0CDE">
        <w:rPr>
          <w:b/>
        </w:rPr>
        <w:t>/reproduktion</w:t>
      </w:r>
      <w:r w:rsidRPr="00CA332D">
        <w:rPr>
          <w:b/>
        </w:rPr>
        <w:t>,</w:t>
      </w:r>
      <w:r w:rsidRPr="00FD0D01">
        <w:t xml:space="preserve"> 3% andet. Det mest vagtbelastede </w:t>
      </w:r>
      <w:r w:rsidR="00BD7313">
        <w:t>område</w:t>
      </w:r>
      <w:r w:rsidRPr="00FD0D01">
        <w:t xml:space="preserve"> er obstetrik</w:t>
      </w:r>
      <w:r w:rsidR="005122E8">
        <w:t xml:space="preserve">, selv om akut gynækologi </w:t>
      </w:r>
      <w:r w:rsidR="009714DD">
        <w:t xml:space="preserve">i vagterne </w:t>
      </w:r>
      <w:r w:rsidR="005122E8">
        <w:t xml:space="preserve">særligt i </w:t>
      </w:r>
      <w:r w:rsidR="00F50DAB">
        <w:t xml:space="preserve">Hovedstadsområdet </w:t>
      </w:r>
      <w:r w:rsidR="00F54267">
        <w:t xml:space="preserve">på de store </w:t>
      </w:r>
      <w:r w:rsidR="00F50DAB">
        <w:t>a</w:t>
      </w:r>
      <w:r w:rsidR="00F54267">
        <w:t xml:space="preserve">kuthospitaler </w:t>
      </w:r>
      <w:r w:rsidR="00724142">
        <w:t>inklu</w:t>
      </w:r>
      <w:r w:rsidR="00F54267">
        <w:t>derer</w:t>
      </w:r>
      <w:r w:rsidR="00724142">
        <w:t xml:space="preserve"> mange tilsyn </w:t>
      </w:r>
      <w:r w:rsidR="00F54267">
        <w:t>og akutte patienter generelt i specialet</w:t>
      </w:r>
      <w:r w:rsidRPr="00FD0D01">
        <w:t>. Det kan have betydning for valg af subspeciale, hv</w:t>
      </w:r>
      <w:r w:rsidR="00BD7313">
        <w:t>ilken</w:t>
      </w:r>
      <w:r w:rsidRPr="00FD0D01">
        <w:t xml:space="preserve"> </w:t>
      </w:r>
      <w:r w:rsidR="00BD7313" w:rsidRPr="00FD0D01">
        <w:t>vagtbelast</w:t>
      </w:r>
      <w:r w:rsidR="00BD7313">
        <w:t xml:space="preserve">ning </w:t>
      </w:r>
      <w:r w:rsidR="00BD7313" w:rsidRPr="00FD0D01">
        <w:t>der</w:t>
      </w:r>
      <w:r w:rsidRPr="00FD0D01">
        <w:t xml:space="preserve"> er. </w:t>
      </w:r>
      <w:r w:rsidR="009D3270">
        <w:t>Andre</w:t>
      </w:r>
      <w:r w:rsidR="009D3270" w:rsidRPr="00636E6A">
        <w:t xml:space="preserve"> områder af specialet har i dagtiden mindre grad af akutarbejde, fx det onkogynækologiske og det føtalmedicinske. Dette kan på sigt </w:t>
      </w:r>
      <w:r w:rsidR="00ED432B">
        <w:t xml:space="preserve">øge kravet til </w:t>
      </w:r>
      <w:r w:rsidR="009D3270" w:rsidRPr="00636E6A">
        <w:t xml:space="preserve">stillinger </w:t>
      </w:r>
      <w:r w:rsidR="00ED432B">
        <w:t>uden vagtfunktion</w:t>
      </w:r>
      <w:r w:rsidR="009D3270" w:rsidRPr="00636E6A">
        <w:t>. Da vagtbelastningen allerede er høj</w:t>
      </w:r>
      <w:r w:rsidR="005C388B">
        <w:t xml:space="preserve">, vil det fordre </w:t>
      </w:r>
      <w:r w:rsidR="009D3270" w:rsidRPr="00636E6A">
        <w:t xml:space="preserve">et øget behov </w:t>
      </w:r>
      <w:r w:rsidR="00ED432B">
        <w:t xml:space="preserve">for speciallæger </w:t>
      </w:r>
      <w:r w:rsidR="009D3270" w:rsidRPr="00636E6A">
        <w:t xml:space="preserve">inden </w:t>
      </w:r>
      <w:r w:rsidR="009D3270">
        <w:t>på</w:t>
      </w:r>
      <w:r w:rsidR="009D3270" w:rsidRPr="00636E6A">
        <w:t xml:space="preserve"> de</w:t>
      </w:r>
      <w:r w:rsidR="00ED432B">
        <w:t>t</w:t>
      </w:r>
      <w:r w:rsidR="009D3270" w:rsidRPr="00636E6A">
        <w:t xml:space="preserve"> almengynækologiske og obstetriske områder</w:t>
      </w:r>
      <w:r w:rsidR="00ED432B">
        <w:t>, mhp. udtynding af vagtbelastning</w:t>
      </w:r>
      <w:r w:rsidR="009D3270" w:rsidRPr="00636E6A">
        <w:t>.</w:t>
      </w:r>
      <w:r w:rsidR="009D3270">
        <w:t xml:space="preserve"> </w:t>
      </w:r>
      <w:r w:rsidR="00ED432B">
        <w:t xml:space="preserve">Denne problemstilling synes allerede nu at </w:t>
      </w:r>
      <w:r w:rsidR="00F54267">
        <w:t>være</w:t>
      </w:r>
      <w:r w:rsidR="00ED432B">
        <w:t xml:space="preserve"> til stede, idet</w:t>
      </w:r>
      <w:r w:rsidRPr="00FD0D01">
        <w:t xml:space="preserve"> flere større afdelinger rapportere</w:t>
      </w:r>
      <w:r w:rsidR="00ED432B">
        <w:t>r</w:t>
      </w:r>
      <w:r w:rsidRPr="00FD0D01">
        <w:t xml:space="preserve"> om rekrutteringsbesvær ikke mindst til det obstetriske fagområde.</w:t>
      </w:r>
      <w:r w:rsidR="00DD2A33" w:rsidRPr="00DD2A33">
        <w:t xml:space="preserve"> </w:t>
      </w:r>
    </w:p>
    <w:p w14:paraId="4B887F62" w14:textId="7D9C0815" w:rsidR="00DD2A33" w:rsidRDefault="00DD2A33" w:rsidP="00DD2A33">
      <w:pPr>
        <w:pStyle w:val="Listeafsnit"/>
        <w:numPr>
          <w:ilvl w:val="1"/>
          <w:numId w:val="4"/>
        </w:numPr>
      </w:pPr>
      <w:r>
        <w:t>Det store behov for at få beskrevet og systematiseret ekspertuddannelserne, der ligger i forlængelse af speciallægeuddannelsen, indebære</w:t>
      </w:r>
      <w:r w:rsidR="00BA088D">
        <w:t>r</w:t>
      </w:r>
      <w:r>
        <w:t xml:space="preserve"> et yderligere pres på alle afdelinger, men især de højt specialiserede afdelingers udbud af uddannelse, og et faktum der igen rejser behovet for flere speciallæger.</w:t>
      </w:r>
    </w:p>
    <w:p w14:paraId="247F81E0" w14:textId="61B2BF6D" w:rsidR="00B572D5" w:rsidRDefault="00DE4DE6" w:rsidP="00B572D5">
      <w:pPr>
        <w:pStyle w:val="Listeafsnit"/>
        <w:numPr>
          <w:ilvl w:val="1"/>
          <w:numId w:val="4"/>
        </w:numPr>
      </w:pPr>
      <w:r w:rsidRPr="00DD2A33">
        <w:rPr>
          <w:b/>
        </w:rPr>
        <w:t>For speciallægepraksis</w:t>
      </w:r>
      <w:r>
        <w:t xml:space="preserve">: </w:t>
      </w:r>
      <w:r w:rsidRPr="00DD2A33">
        <w:rPr>
          <w:rFonts w:ascii="Calibri" w:hAnsi="Calibri"/>
        </w:rPr>
        <w:t>Der forventes ikke oprettet nye ydernumre I de forskellige regioner for nuværende.</w:t>
      </w:r>
    </w:p>
    <w:p w14:paraId="5BADFEE2" w14:textId="77777777" w:rsidR="00D43448" w:rsidRDefault="00D43448" w:rsidP="009466E8">
      <w:pPr>
        <w:ind w:left="720"/>
      </w:pPr>
    </w:p>
    <w:p w14:paraId="2581E3C8" w14:textId="182756E9" w:rsidR="00D5190A" w:rsidRPr="009466E8" w:rsidRDefault="00D5190A" w:rsidP="009466E8">
      <w:pPr>
        <w:pStyle w:val="Listeafsnit"/>
        <w:numPr>
          <w:ilvl w:val="0"/>
          <w:numId w:val="4"/>
        </w:numPr>
        <w:spacing w:before="360"/>
        <w:ind w:left="357" w:hanging="357"/>
        <w:rPr>
          <w:i/>
        </w:rPr>
      </w:pPr>
      <w:r w:rsidRPr="009466E8">
        <w:rPr>
          <w:i/>
        </w:rPr>
        <w:t>Hvilke faktorer forventes at kunne få indflydelse på behovet for speciallæger? I vurderingen bør der tages højde for den demografiske udvikling, ændrede sygdomsmønstre, ændrede behandlingsmønstre/metoder, teknologisk udvikling, sundhedsplanlægning, øget specialisering, fokus- og indsatsområder, strukturændringer mv</w:t>
      </w:r>
    </w:p>
    <w:p w14:paraId="0A9E2343" w14:textId="6D1DD421" w:rsidR="00636E6A" w:rsidRDefault="00636E6A" w:rsidP="005A2DED">
      <w:pPr>
        <w:pStyle w:val="Listeafsnit"/>
        <w:numPr>
          <w:ilvl w:val="1"/>
          <w:numId w:val="4"/>
        </w:numPr>
      </w:pPr>
      <w:r>
        <w:t>Lægeprognosen tager ikke højde for</w:t>
      </w:r>
      <w:r w:rsidR="005C388B">
        <w:t>,</w:t>
      </w:r>
      <w:r>
        <w:t xml:space="preserve"> at vores speciale har mange kvinder med deraf følgende ændret erhvervsprofil. </w:t>
      </w:r>
      <w:r w:rsidR="00353BB3">
        <w:t>Ifølge lægeprognosen</w:t>
      </w:r>
      <w:r>
        <w:t xml:space="preserve"> har </w:t>
      </w:r>
      <w:r w:rsidR="00353BB3">
        <w:t xml:space="preserve">kvinder </w:t>
      </w:r>
      <w:r>
        <w:t xml:space="preserve">2 år lavere pensionsalder og </w:t>
      </w:r>
      <w:r w:rsidR="00D12CD2">
        <w:t>er</w:t>
      </w:r>
      <w:r>
        <w:t xml:space="preserve"> </w:t>
      </w:r>
      <w:r w:rsidR="00D12CD2">
        <w:t>arbejds</w:t>
      </w:r>
      <w:r w:rsidR="00353BB3">
        <w:t xml:space="preserve">aktive </w:t>
      </w:r>
      <w:r>
        <w:t xml:space="preserve">5 år </w:t>
      </w:r>
      <w:r w:rsidR="00353BB3">
        <w:t xml:space="preserve">mindre </w:t>
      </w:r>
      <w:r w:rsidR="00D12CD2">
        <w:t>end mænd</w:t>
      </w:r>
      <w:r>
        <w:t xml:space="preserve"> pga. graviditet/barsel/orlov.</w:t>
      </w:r>
      <w:r w:rsidRPr="00A87562">
        <w:t xml:space="preserve"> </w:t>
      </w:r>
      <w:r>
        <w:t xml:space="preserve">Kvinder udgør aktuelt 76% af </w:t>
      </w:r>
      <w:r w:rsidR="00CF5DCB">
        <w:lastRenderedPageBreak/>
        <w:t xml:space="preserve">de </w:t>
      </w:r>
      <w:r>
        <w:t xml:space="preserve">arbejdende læger i specialet og </w:t>
      </w:r>
      <w:r w:rsidR="00DC3969">
        <w:t>andelen</w:t>
      </w:r>
      <w:r>
        <w:t xml:space="preserve"> er stigende. Således udgør kvinder 45% af speciallæger over 60 år, mens andelen blandt yngre </w:t>
      </w:r>
      <w:r w:rsidR="00A25891">
        <w:t xml:space="preserve">speciallæger </w:t>
      </w:r>
      <w:r>
        <w:t xml:space="preserve">nu er 83%. </w:t>
      </w:r>
    </w:p>
    <w:p w14:paraId="42C03F4D" w14:textId="08276445" w:rsidR="00636E6A" w:rsidRDefault="00636E6A" w:rsidP="005A2DED">
      <w:pPr>
        <w:pStyle w:val="Listeafsnit"/>
        <w:numPr>
          <w:ilvl w:val="1"/>
          <w:numId w:val="4"/>
        </w:numPr>
      </w:pPr>
      <w:r w:rsidRPr="00636E6A">
        <w:t xml:space="preserve">Vores speciale er </w:t>
      </w:r>
      <w:r w:rsidR="00F54267">
        <w:t xml:space="preserve">som nævnt </w:t>
      </w:r>
      <w:r w:rsidRPr="00636E6A">
        <w:t>et vagttungt</w:t>
      </w:r>
      <w:r w:rsidR="00D12CD2">
        <w:t>, meget akut</w:t>
      </w:r>
      <w:r w:rsidRPr="00636E6A">
        <w:t xml:space="preserve"> speciale med stor arbejdsbelastning</w:t>
      </w:r>
      <w:r w:rsidR="00D12CD2">
        <w:t xml:space="preserve"> døgnet rundt.</w:t>
      </w:r>
      <w:r w:rsidRPr="00636E6A">
        <w:t xml:space="preserve"> </w:t>
      </w:r>
      <w:r w:rsidR="00D12CD2">
        <w:t>Endvidere</w:t>
      </w:r>
      <w:r>
        <w:t xml:space="preserve"> er </w:t>
      </w:r>
      <w:r w:rsidRPr="00636E6A">
        <w:t>special</w:t>
      </w:r>
      <w:r>
        <w:t>læger</w:t>
      </w:r>
      <w:r w:rsidR="00D12CD2">
        <w:t>ne</w:t>
      </w:r>
      <w:r>
        <w:t xml:space="preserve"> i tilstedeværelsesvagt</w:t>
      </w:r>
      <w:r w:rsidR="00D12CD2">
        <w:t>, hvilket tærer på fremmødet i dagtid</w:t>
      </w:r>
      <w:r w:rsidRPr="00636E6A">
        <w:t xml:space="preserve">. Vagtbelastningen er især stor inden for det obstetriske </w:t>
      </w:r>
      <w:r w:rsidR="00D12CD2">
        <w:t>og benignt gynækologiske</w:t>
      </w:r>
      <w:r w:rsidRPr="00636E6A">
        <w:t xml:space="preserve"> område</w:t>
      </w:r>
      <w:r w:rsidR="00D12CD2">
        <w:t xml:space="preserve">. </w:t>
      </w:r>
      <w:r w:rsidRPr="00636E6A">
        <w:t xml:space="preserve"> </w:t>
      </w:r>
    </w:p>
    <w:p w14:paraId="09B6F078" w14:textId="674E4CDB" w:rsidR="00636E6A" w:rsidRDefault="00636E6A" w:rsidP="00C71363">
      <w:pPr>
        <w:pStyle w:val="Listeafsnit"/>
        <w:numPr>
          <w:ilvl w:val="1"/>
          <w:numId w:val="4"/>
        </w:numPr>
      </w:pPr>
      <w:r w:rsidRPr="00636E6A">
        <w:t>Sundhedsstyrelsen har givet udtryk for, at en højere grad af subspecialisering kunne være fremtiden i Danmark</w:t>
      </w:r>
      <w:r w:rsidR="00DC3969">
        <w:t>,</w:t>
      </w:r>
      <w:r w:rsidRPr="00636E6A">
        <w:t xml:space="preserve"> som det er i andre lande</w:t>
      </w:r>
      <w:r w:rsidR="00D12CD2">
        <w:t xml:space="preserve">. </w:t>
      </w:r>
      <w:r w:rsidR="00F54267">
        <w:t>SST</w:t>
      </w:r>
      <w:r w:rsidRPr="00636E6A">
        <w:t xml:space="preserve"> har i den anledning været i kontakt med Dansk Selskab for Obstetrik og Gynækologi, da selskabet i forvejen er langt fremme på de</w:t>
      </w:r>
      <w:r w:rsidR="00DC3969">
        <w:t>t</w:t>
      </w:r>
      <w:r w:rsidRPr="00636E6A">
        <w:t xml:space="preserve"> felt. Subspecialisering kræver uddannelsestid, enten til ophold på andre afdelinger, fx i udlandet, eller til udvidet supervis</w:t>
      </w:r>
      <w:r w:rsidR="009D3270">
        <w:t>i</w:t>
      </w:r>
      <w:r w:rsidRPr="00636E6A">
        <w:t>on.</w:t>
      </w:r>
      <w:r w:rsidR="00D12CD2">
        <w:t xml:space="preserve"> Dette sammenlagt med langt mindre erfaring ved færdig speciallægeuddannelse, øger efterspørgslen og belaster de mere seniore</w:t>
      </w:r>
      <w:r w:rsidR="00CA332D">
        <w:t>r</w:t>
      </w:r>
      <w:r w:rsidR="00D12CD2">
        <w:t xml:space="preserve"> overlæger meget.</w:t>
      </w:r>
    </w:p>
    <w:p w14:paraId="5DAB3009" w14:textId="12A67A49" w:rsidR="00636E6A" w:rsidRDefault="00636E6A" w:rsidP="00C71363">
      <w:pPr>
        <w:pStyle w:val="Listeafsnit"/>
        <w:numPr>
          <w:ilvl w:val="1"/>
          <w:numId w:val="4"/>
        </w:numPr>
      </w:pPr>
      <w:r w:rsidRPr="00636E6A">
        <w:t xml:space="preserve">De seneste </w:t>
      </w:r>
      <w:r w:rsidR="00D12CD2">
        <w:t xml:space="preserve">10 </w:t>
      </w:r>
      <w:r w:rsidRPr="0000758E">
        <w:t>år</w:t>
      </w:r>
      <w:r w:rsidRPr="00636E6A">
        <w:t xml:space="preserve"> har man markant ændret </w:t>
      </w:r>
      <w:r w:rsidRPr="00C0580F">
        <w:t xml:space="preserve">behandlingsstrategi til </w:t>
      </w:r>
      <w:r w:rsidR="00C71363" w:rsidRPr="0000758E">
        <w:t>flere</w:t>
      </w:r>
      <w:r w:rsidR="00C71363" w:rsidRPr="00C0580F">
        <w:t xml:space="preserve"> </w:t>
      </w:r>
      <w:r w:rsidRPr="00C0580F">
        <w:t>accelererede og ambulante forløb</w:t>
      </w:r>
      <w:r w:rsidRPr="0000758E">
        <w:t xml:space="preserve">. </w:t>
      </w:r>
      <w:r w:rsidR="00C71363" w:rsidRPr="0000758E">
        <w:t xml:space="preserve">Da </w:t>
      </w:r>
      <w:r w:rsidRPr="00C0580F">
        <w:t xml:space="preserve">fødselstallet </w:t>
      </w:r>
      <w:r w:rsidR="00C71363" w:rsidRPr="0000758E">
        <w:t xml:space="preserve">samtidig forventes </w:t>
      </w:r>
      <w:r w:rsidRPr="00C0580F">
        <w:t>at sti</w:t>
      </w:r>
      <w:r w:rsidR="00C71363" w:rsidRPr="00C0580F">
        <w:t>ge markant over de næste 10 år</w:t>
      </w:r>
      <w:r w:rsidR="00C71363" w:rsidRPr="0000758E">
        <w:t>,</w:t>
      </w:r>
      <w:r w:rsidRPr="00C0580F">
        <w:t xml:space="preserve"> kræver </w:t>
      </w:r>
      <w:r w:rsidR="00C71363" w:rsidRPr="0000758E">
        <w:t xml:space="preserve">det </w:t>
      </w:r>
      <w:r w:rsidRPr="00C0580F">
        <w:t>flere læger i både dagtid og vagter. Især</w:t>
      </w:r>
      <w:r w:rsidRPr="00636E6A">
        <w:t xml:space="preserve"> det obstetriske og føtalmedicinske område</w:t>
      </w:r>
      <w:r w:rsidR="00DC3969">
        <w:t>,</w:t>
      </w:r>
      <w:r w:rsidRPr="00636E6A">
        <w:t xml:space="preserve"> har allerede nu rekrutteringsvanskeligheder. Med udsigt til øget arbejdsbelastning på allerede belastede fødeafdelinger, kan man forvente, at rekrutteringen bliver yderligere vanskeliggjort, hvis der ikke sker en udtynding af vagter for speciallæger i alle aldre</w:t>
      </w:r>
      <w:r w:rsidR="00A7769B">
        <w:t xml:space="preserve"> parallelt med en øget jordemoderbemanding</w:t>
      </w:r>
      <w:r w:rsidRPr="00636E6A">
        <w:t>.</w:t>
      </w:r>
    </w:p>
    <w:p w14:paraId="5E4A1021" w14:textId="230A26BE" w:rsidR="00636E6A" w:rsidRDefault="00636E6A" w:rsidP="00C71363">
      <w:pPr>
        <w:pStyle w:val="Listeafsnit"/>
        <w:numPr>
          <w:ilvl w:val="1"/>
          <w:numId w:val="4"/>
        </w:numPr>
      </w:pPr>
      <w:r w:rsidRPr="00636E6A">
        <w:t>Der er i alt 85 speciallæger i gynækologisk speciallægepraksis. Heraf er 71 i fuldtid</w:t>
      </w:r>
      <w:r w:rsidR="00FD0D01">
        <w:t>spraksis og 13 i deltidspraksis</w:t>
      </w:r>
      <w:r w:rsidRPr="00636E6A">
        <w:t xml:space="preserve">, 1 delepraksis delt mellem 2 speciallæger (data fra moderniseringsrapport 2015) se endvidere (Tabel 1: Antal speciallægepraksis fordelt på type </w:t>
      </w:r>
      <w:r w:rsidRPr="00C0580F">
        <w:t xml:space="preserve">pr. </w:t>
      </w:r>
      <w:r w:rsidR="00C71363" w:rsidRPr="00C0580F">
        <w:t>31.</w:t>
      </w:r>
      <w:r w:rsidR="00C71363" w:rsidRPr="0000758E">
        <w:t>12.</w:t>
      </w:r>
      <w:r w:rsidRPr="00C0580F">
        <w:t>2014).</w:t>
      </w:r>
      <w:r w:rsidRPr="00636E6A">
        <w:t xml:space="preserve"> Der er stor forskel på antallet af praktiserende gynækologer i de fem regioner. Det har indflydelse på fordelingen af opgaver mellem speciallægepraksis og sygehusene i regionerne. Der er stort set lige mange kvindelige og mandlige gynækologiske speciallæger i speciallægepraksis. Der ses en tendens til, at de kvindelige gynækologer generelt er yngre end de mandlige gynækologer. Aldersfordelingen viser endvidere, at godt 10</w:t>
      </w:r>
      <w:r w:rsidR="00D00461">
        <w:t>%</w:t>
      </w:r>
      <w:r w:rsidRPr="00636E6A">
        <w:t xml:space="preserve"> af de praktiserende speciallæger er under 50 år, mens ca. 16</w:t>
      </w:r>
      <w:r w:rsidR="00D00461">
        <w:t>%</w:t>
      </w:r>
      <w:r w:rsidRPr="00636E6A">
        <w:t xml:space="preserve"> er over 65 år (Tabel 2. Alder fordelt på køn pr. 31. december 2014). Praktiserende speciallæger har højere pensionsalder end hospitalsansatte.</w:t>
      </w:r>
    </w:p>
    <w:p w14:paraId="577D073C" w14:textId="77777777" w:rsidR="00AE0BDE" w:rsidRDefault="00AE0BDE" w:rsidP="00AE0BDE">
      <w:pPr>
        <w:ind w:left="720"/>
      </w:pPr>
    </w:p>
    <w:p w14:paraId="0F977E12" w14:textId="2AA1110A" w:rsidR="006173AE" w:rsidRPr="00AE0BDE" w:rsidRDefault="00AE0BDE" w:rsidP="00AE0BDE">
      <w:pPr>
        <w:pStyle w:val="Listeafsnit"/>
        <w:numPr>
          <w:ilvl w:val="0"/>
          <w:numId w:val="4"/>
        </w:numPr>
        <w:rPr>
          <w:i/>
        </w:rPr>
      </w:pPr>
      <w:r w:rsidRPr="00AE0BDE">
        <w:rPr>
          <w:i/>
        </w:rPr>
        <w:t>Er der nogle generelle bemærkninger til lægeprognosens fremskrivni</w:t>
      </w:r>
      <w:r w:rsidRPr="00AE0BDE">
        <w:rPr>
          <w:i/>
        </w:rPr>
        <w:t>ng af speciallæger i specialet?</w:t>
      </w:r>
    </w:p>
    <w:p w14:paraId="2E2155F0" w14:textId="6EE8BDCD" w:rsidR="00EE2941" w:rsidRDefault="00EE2941">
      <w:pPr>
        <w:rPr>
          <w:b/>
        </w:rPr>
      </w:pPr>
      <w:r>
        <w:rPr>
          <w:b/>
        </w:rPr>
        <w:t>Alder</w:t>
      </w:r>
      <w:r w:rsidR="00E0297B">
        <w:rPr>
          <w:b/>
        </w:rPr>
        <w:t xml:space="preserve"> og køn</w:t>
      </w:r>
    </w:p>
    <w:p w14:paraId="53F44F22" w14:textId="661D8A9B" w:rsidR="006173AE" w:rsidRDefault="00CA0442">
      <w:r>
        <w:t>DSOGs</w:t>
      </w:r>
      <w:r w:rsidR="006173AE">
        <w:t xml:space="preserve"> </w:t>
      </w:r>
      <w:r w:rsidR="006E0E7C">
        <w:t>egen</w:t>
      </w:r>
      <w:r w:rsidR="006173AE">
        <w:t xml:space="preserve"> opgørelse </w:t>
      </w:r>
      <w:r w:rsidR="00C71363">
        <w:t xml:space="preserve">viser </w:t>
      </w:r>
      <w:r>
        <w:t xml:space="preserve">for </w:t>
      </w:r>
      <w:r w:rsidR="006173AE">
        <w:t>kønsfordelingen for hospitalsansatte speciallæger</w:t>
      </w:r>
      <w:r>
        <w:t>,</w:t>
      </w:r>
      <w:r w:rsidR="006173AE">
        <w:t xml:space="preserve"> at 67</w:t>
      </w:r>
      <w:r w:rsidR="00D00461">
        <w:t>%</w:t>
      </w:r>
      <w:r w:rsidR="006173AE">
        <w:t xml:space="preserve"> af fuldtidsstillingerne dækkes af kvinder, 29</w:t>
      </w:r>
      <w:r w:rsidR="00D00461">
        <w:t>%</w:t>
      </w:r>
      <w:r w:rsidR="006173AE">
        <w:t xml:space="preserve"> af mænd og 4% er udækkede. </w:t>
      </w:r>
      <w:r>
        <w:t xml:space="preserve">Det er i kontrast til seneste opgørelse fra overlægeforeningen, hvor </w:t>
      </w:r>
      <w:r w:rsidR="006D69FB">
        <w:t>fordelingen</w:t>
      </w:r>
      <w:r>
        <w:t xml:space="preserve"> er 69% mænd og 31% kvinder. </w:t>
      </w:r>
      <w:r w:rsidR="006173AE">
        <w:t xml:space="preserve">Der er </w:t>
      </w:r>
      <w:r w:rsidR="006E0E7C">
        <w:t>i specialet</w:t>
      </w:r>
      <w:r w:rsidR="006173AE">
        <w:t xml:space="preserve"> 425 fuldtidsstillinger</w:t>
      </w:r>
      <w:r w:rsidR="006E0E7C">
        <w:t xml:space="preserve"> i </w:t>
      </w:r>
      <w:r w:rsidR="00584230">
        <w:t>juni</w:t>
      </w:r>
      <w:r w:rsidR="006E0E7C">
        <w:t xml:space="preserve"> 2016</w:t>
      </w:r>
      <w:r>
        <w:t>,</w:t>
      </w:r>
      <w:r w:rsidR="006173AE">
        <w:t xml:space="preserve"> og </w:t>
      </w:r>
      <w:r w:rsidR="00C71363" w:rsidRPr="0000758E">
        <w:t>der er</w:t>
      </w:r>
      <w:r w:rsidR="00C71363" w:rsidRPr="00C0580F">
        <w:t xml:space="preserve"> </w:t>
      </w:r>
      <w:r w:rsidR="006173AE" w:rsidRPr="00C0580F">
        <w:t>ingen</w:t>
      </w:r>
      <w:r w:rsidR="006173AE">
        <w:t xml:space="preserve"> markante regionale forskelle</w:t>
      </w:r>
      <w:r w:rsidR="006E0E7C">
        <w:t xml:space="preserve"> </w:t>
      </w:r>
      <w:r w:rsidR="00BB7E41">
        <w:t>på køns og aldersfordelingen i de tre regioner.</w:t>
      </w:r>
      <w:r w:rsidR="006173AE">
        <w:t xml:space="preserve"> Der er hoveduddannelsesforløb svarende til 97 fuldtidsstillinger. Hera</w:t>
      </w:r>
      <w:r w:rsidR="00C1462A">
        <w:t>f</w:t>
      </w:r>
      <w:r w:rsidR="006173AE">
        <w:t xml:space="preserve"> er 77</w:t>
      </w:r>
      <w:r w:rsidR="00D00461">
        <w:t>%</w:t>
      </w:r>
      <w:r w:rsidR="006173AE">
        <w:t xml:space="preserve"> besat af kvinder. 50</w:t>
      </w:r>
      <w:r w:rsidR="00D00461">
        <w:t>%</w:t>
      </w:r>
      <w:r w:rsidR="006173AE">
        <w:t xml:space="preserve"> af forløb</w:t>
      </w:r>
      <w:r w:rsidR="00C1462A">
        <w:t xml:space="preserve">ene er i </w:t>
      </w:r>
      <w:r w:rsidR="00A25891">
        <w:t xml:space="preserve">VUR </w:t>
      </w:r>
      <w:r w:rsidR="006173AE">
        <w:t>Øst, og i overensstemmelse med befolkningsgrundlaget (</w:t>
      </w:r>
      <w:r w:rsidR="00A25891">
        <w:t>VUR Ø</w:t>
      </w:r>
      <w:r w:rsidR="006173AE">
        <w:t>st har et befolkningsgrundlag der svarer til ca</w:t>
      </w:r>
      <w:r w:rsidR="00FD0D01">
        <w:t>.</w:t>
      </w:r>
      <w:r w:rsidR="006173AE">
        <w:t xml:space="preserve"> 50</w:t>
      </w:r>
      <w:r w:rsidR="00D00461">
        <w:t>%</w:t>
      </w:r>
      <w:r w:rsidR="006173AE">
        <w:t xml:space="preserve"> af den danske befolkning).</w:t>
      </w:r>
    </w:p>
    <w:p w14:paraId="3B3970ED" w14:textId="3D1CB4A2" w:rsidR="00D54BCB" w:rsidRPr="00C0580F" w:rsidRDefault="00CA0442">
      <w:r>
        <w:t>H</w:t>
      </w:r>
      <w:r w:rsidR="00EE71C4">
        <w:t>øringsmateriale</w:t>
      </w:r>
      <w:r>
        <w:t>ts figur 5</w:t>
      </w:r>
      <w:r w:rsidR="00EE71C4">
        <w:t xml:space="preserve"> </w:t>
      </w:r>
      <w:r>
        <w:t xml:space="preserve">viser </w:t>
      </w:r>
      <w:r w:rsidR="00EE71C4">
        <w:t>alders</w:t>
      </w:r>
      <w:r w:rsidR="00275F22">
        <w:t>- og køns</w:t>
      </w:r>
      <w:r w:rsidR="00EE71C4">
        <w:t xml:space="preserve">fordelingen </w:t>
      </w:r>
      <w:r w:rsidR="00275F22">
        <w:t>for</w:t>
      </w:r>
      <w:r w:rsidR="00EE71C4">
        <w:t xml:space="preserve"> speciallægestyrken </w:t>
      </w:r>
      <w:r w:rsidR="00275F22">
        <w:t>år 2012</w:t>
      </w:r>
      <w:r w:rsidR="00EE71C4">
        <w:t xml:space="preserve">. Til sammenligning fremgår af </w:t>
      </w:r>
      <w:r>
        <w:t>DSOG</w:t>
      </w:r>
      <w:r w:rsidR="00237A75">
        <w:t>’</w:t>
      </w:r>
      <w:r>
        <w:t xml:space="preserve">s opgørelse, </w:t>
      </w:r>
      <w:r w:rsidR="00EE71C4">
        <w:fldChar w:fldCharType="begin"/>
      </w:r>
      <w:r w:rsidR="00EE71C4">
        <w:instrText xml:space="preserve"> REF _Ref463381121 \h </w:instrText>
      </w:r>
      <w:r w:rsidR="00EE71C4">
        <w:fldChar w:fldCharType="separate"/>
      </w:r>
      <w:r w:rsidR="00573A93">
        <w:t xml:space="preserve">Figur </w:t>
      </w:r>
      <w:r w:rsidR="00573A93">
        <w:rPr>
          <w:noProof/>
        </w:rPr>
        <w:t>1</w:t>
      </w:r>
      <w:r w:rsidR="00EE71C4">
        <w:fldChar w:fldCharType="end"/>
      </w:r>
      <w:r w:rsidR="00EE71C4">
        <w:t xml:space="preserve">, at kønssammensætningen </w:t>
      </w:r>
      <w:r w:rsidR="00275F22">
        <w:t xml:space="preserve">anno 2016 </w:t>
      </w:r>
      <w:r w:rsidR="00EE71C4">
        <w:t>er markant anderledes med betydeligt flere kvinder</w:t>
      </w:r>
      <w:r w:rsidR="00275F22">
        <w:t xml:space="preserve"> i det gynækologiske</w:t>
      </w:r>
      <w:r w:rsidR="00A25891">
        <w:t>-</w:t>
      </w:r>
      <w:r w:rsidR="00275F22">
        <w:t>obstetriske speciale</w:t>
      </w:r>
      <w:r w:rsidR="00EE71C4">
        <w:t xml:space="preserve">. </w:t>
      </w:r>
      <w:r w:rsidR="003B6964">
        <w:t>Den procentuelle aldersfordeling for gynækologiske</w:t>
      </w:r>
      <w:r w:rsidR="00A25891">
        <w:t>-</w:t>
      </w:r>
      <w:r w:rsidR="003B6964">
        <w:t xml:space="preserve">obstetriske speciallæger ansat på hospital juni 2016 matcher den </w:t>
      </w:r>
      <w:r w:rsidR="003B6964">
        <w:lastRenderedPageBreak/>
        <w:t xml:space="preserve">samlede speciallægestyrkes </w:t>
      </w:r>
      <w:r w:rsidR="003B6964" w:rsidRPr="00C0580F">
        <w:t>procentuelle aldersfordeling anno 2012 (</w:t>
      </w:r>
      <w:r w:rsidR="003B6964" w:rsidRPr="00C0580F">
        <w:fldChar w:fldCharType="begin"/>
      </w:r>
      <w:r w:rsidR="003B6964" w:rsidRPr="00C0580F">
        <w:instrText xml:space="preserve"> REF _Ref463382277 \h </w:instrText>
      </w:r>
      <w:r w:rsidR="00C0580F">
        <w:instrText xml:space="preserve"> \* MERGEFORMAT </w:instrText>
      </w:r>
      <w:r w:rsidR="003B6964" w:rsidRPr="00C0580F">
        <w:fldChar w:fldCharType="separate"/>
      </w:r>
      <w:r w:rsidR="00573A93">
        <w:t xml:space="preserve">Figur </w:t>
      </w:r>
      <w:r w:rsidR="00573A93">
        <w:rPr>
          <w:noProof/>
        </w:rPr>
        <w:t>2</w:t>
      </w:r>
      <w:r w:rsidR="003B6964" w:rsidRPr="00C0580F">
        <w:fldChar w:fldCharType="end"/>
      </w:r>
      <w:r w:rsidR="000D015B" w:rsidRPr="00C0580F">
        <w:t xml:space="preserve"> </w:t>
      </w:r>
      <w:r w:rsidR="000D015B" w:rsidRPr="0000758E">
        <w:t>(DSOG)</w:t>
      </w:r>
      <w:r w:rsidR="003B6964" w:rsidRPr="0000758E">
        <w:t>,</w:t>
      </w:r>
      <w:r w:rsidR="003B6964" w:rsidRPr="00C0580F">
        <w:t xml:space="preserve"> Figur 6 høringsmateriale).</w:t>
      </w:r>
      <w:r w:rsidR="000D015B" w:rsidRPr="00C0580F">
        <w:t xml:space="preserve"> </w:t>
      </w:r>
    </w:p>
    <w:p w14:paraId="4D8A88DB" w14:textId="77777777" w:rsidR="00A25891" w:rsidRDefault="006173AE" w:rsidP="006173AE">
      <w:r w:rsidRPr="00BB7E41">
        <w:rPr>
          <w:b/>
        </w:rPr>
        <w:t>Tilgang/afgang</w:t>
      </w:r>
    </w:p>
    <w:p w14:paraId="6194166B" w14:textId="61F96289" w:rsidR="00EE71C4" w:rsidRDefault="006173AE">
      <w:pPr>
        <w:rPr>
          <w:b/>
        </w:rPr>
      </w:pPr>
      <w:r w:rsidRPr="00C0580F">
        <w:t xml:space="preserve">Der er læger </w:t>
      </w:r>
      <w:r w:rsidR="00BA2842" w:rsidRPr="00C0580F">
        <w:t>over 60 år sv.t. 107 fuldtidsstillinger</w:t>
      </w:r>
      <w:r w:rsidRPr="00C0580F">
        <w:t>, hvor fl</w:t>
      </w:r>
      <w:r w:rsidR="00FD0D01" w:rsidRPr="00C0580F">
        <w:t xml:space="preserve">ertallet må forventes af gå på </w:t>
      </w:r>
      <w:r w:rsidRPr="00C0580F">
        <w:t xml:space="preserve">pension inden for de næste 5 år. Der er 97 speciallæger på vej. Der er 16 </w:t>
      </w:r>
      <w:r w:rsidR="000D015B" w:rsidRPr="00C0580F">
        <w:t xml:space="preserve">ledige fuldtidsstillinger, </w:t>
      </w:r>
      <w:r w:rsidR="0000758E">
        <w:t>d</w:t>
      </w:r>
      <w:r w:rsidR="000D015B" w:rsidRPr="0000758E">
        <w:t xml:space="preserve">et vil sige at </w:t>
      </w:r>
      <w:r w:rsidR="000D015B" w:rsidRPr="00C0580F">
        <w:t xml:space="preserve">der </w:t>
      </w:r>
      <w:r w:rsidRPr="00C0580F">
        <w:t xml:space="preserve">ikke </w:t>
      </w:r>
      <w:r w:rsidR="000D015B" w:rsidRPr="0000758E">
        <w:t>er</w:t>
      </w:r>
      <w:r w:rsidR="000D015B" w:rsidRPr="00C0580F">
        <w:t xml:space="preserve"> </w:t>
      </w:r>
      <w:r w:rsidRPr="00C0580F">
        <w:t>speciallæger</w:t>
      </w:r>
      <w:r>
        <w:t xml:space="preserve"> nok på vej</w:t>
      </w:r>
      <w:r w:rsidR="00DC3969">
        <w:t>,</w:t>
      </w:r>
      <w:r>
        <w:t xml:space="preserve"> til at kunne dække afgang og der vil komme yderligere lægemangel inden for få år med</w:t>
      </w:r>
      <w:r w:rsidR="00DC3969">
        <w:t xml:space="preserve"> den</w:t>
      </w:r>
      <w:r>
        <w:t xml:space="preserve"> nuværende dimensionering af stillinger. Der er ikke inkluderet forskerstillinger. I speciallægepraksis er </w:t>
      </w:r>
      <w:r w:rsidR="00FD0D01">
        <w:t>28 af 86 (33%)</w:t>
      </w:r>
      <w:r>
        <w:t xml:space="preserve"> over 60 år. Læger i speciallægepraksis går ofte senere på pension. Det estimeres at ca</w:t>
      </w:r>
      <w:r w:rsidR="000D015B">
        <w:t xml:space="preserve">. 1/3 vil </w:t>
      </w:r>
      <w:r w:rsidR="000D015B" w:rsidRPr="0000758E">
        <w:t>pensioneres</w:t>
      </w:r>
      <w:r w:rsidR="000D015B">
        <w:t xml:space="preserve"> </w:t>
      </w:r>
      <w:r>
        <w:t>inden for 4 år.</w:t>
      </w:r>
    </w:p>
    <w:p w14:paraId="6236DD9E" w14:textId="64A32374" w:rsidR="002910A5" w:rsidRPr="002910A5" w:rsidRDefault="002910A5">
      <w:pPr>
        <w:rPr>
          <w:b/>
        </w:rPr>
      </w:pPr>
      <w:r w:rsidRPr="002910A5">
        <w:rPr>
          <w:b/>
        </w:rPr>
        <w:t>Arbejdsmiljø</w:t>
      </w:r>
    </w:p>
    <w:p w14:paraId="69E5A92D" w14:textId="30CBF3CF" w:rsidR="002910A5" w:rsidRPr="00C0580F" w:rsidRDefault="00E0297B">
      <w:r>
        <w:t>Generelt kræver specialet en del</w:t>
      </w:r>
      <w:r w:rsidR="002910A5">
        <w:t xml:space="preserve"> </w:t>
      </w:r>
      <w:r w:rsidR="00D22612">
        <w:t xml:space="preserve">både psykisk og fysisk </w:t>
      </w:r>
      <w:r w:rsidR="002910A5">
        <w:t>robusthed</w:t>
      </w:r>
      <w:r>
        <w:t>,</w:t>
      </w:r>
      <w:r w:rsidR="002910A5">
        <w:t xml:space="preserve"> som kan gøre rekrut</w:t>
      </w:r>
      <w:r>
        <w:t>t</w:t>
      </w:r>
      <w:r w:rsidR="002910A5">
        <w:t xml:space="preserve">ering til specialet svært. Den kirurgiske </w:t>
      </w:r>
      <w:r>
        <w:t xml:space="preserve">del af specialet er belastet fysisk ved de laparoskopiske operationer og uhensigtsmæssige arbejdsstillinger. </w:t>
      </w:r>
      <w:r w:rsidR="006D69FB">
        <w:t xml:space="preserve">Det </w:t>
      </w:r>
      <w:r w:rsidR="00BB7E41">
        <w:t xml:space="preserve">vil muligvis blive </w:t>
      </w:r>
      <w:r w:rsidR="006D69FB">
        <w:t>afhj</w:t>
      </w:r>
      <w:r w:rsidR="00BB7E41">
        <w:t>u</w:t>
      </w:r>
      <w:r w:rsidR="006D69FB">
        <w:t>lpe</w:t>
      </w:r>
      <w:r w:rsidR="00BB7E41">
        <w:t>t</w:t>
      </w:r>
      <w:r w:rsidR="006D69FB">
        <w:t xml:space="preserve"> </w:t>
      </w:r>
      <w:r w:rsidR="00BB7E41">
        <w:t>ved et</w:t>
      </w:r>
      <w:r w:rsidR="006D69FB">
        <w:t xml:space="preserve"> stigende </w:t>
      </w:r>
      <w:r w:rsidR="00BB7E41">
        <w:t xml:space="preserve">antal </w:t>
      </w:r>
      <w:r w:rsidR="006D69FB">
        <w:t xml:space="preserve">robotoperationer </w:t>
      </w:r>
      <w:r w:rsidR="006E0E7C">
        <w:t xml:space="preserve">på </w:t>
      </w:r>
      <w:r w:rsidR="006D69FB">
        <w:t>de store steder.</w:t>
      </w:r>
      <w:r w:rsidR="006E0E7C">
        <w:t xml:space="preserve"> </w:t>
      </w:r>
      <w:r w:rsidR="00E013CA" w:rsidRPr="0000758E">
        <w:t>I F</w:t>
      </w:r>
      <w:r w:rsidRPr="0000758E">
        <w:t>øtalmedicin</w:t>
      </w:r>
      <w:r w:rsidRPr="00C0580F">
        <w:t xml:space="preserve"> er de</w:t>
      </w:r>
      <w:r w:rsidR="00301F2F" w:rsidRPr="00C0580F">
        <w:t>r ligeledes</w:t>
      </w:r>
      <w:r w:rsidRPr="00C0580F">
        <w:t xml:space="preserve"> belastning ved de gentagne ensfor</w:t>
      </w:r>
      <w:r w:rsidR="00E013CA" w:rsidRPr="00C0580F">
        <w:t>mige bevægelser ved s</w:t>
      </w:r>
      <w:r w:rsidR="00536997">
        <w:t>k</w:t>
      </w:r>
      <w:r w:rsidR="00E013CA" w:rsidRPr="00C0580F">
        <w:t>anninger</w:t>
      </w:r>
      <w:r w:rsidRPr="00C0580F">
        <w:t>.</w:t>
      </w:r>
      <w:r w:rsidR="00301F2F" w:rsidRPr="00C0580F">
        <w:t xml:space="preserve"> </w:t>
      </w:r>
      <w:r w:rsidR="00D22612" w:rsidRPr="0000758E">
        <w:t>Og</w:t>
      </w:r>
      <w:r w:rsidR="00E013CA" w:rsidRPr="0000758E">
        <w:t>så</w:t>
      </w:r>
      <w:r w:rsidR="00D22612" w:rsidRPr="00C0580F">
        <w:t xml:space="preserve"> arbejdet på fødegangen udfordrer dagligt den gode arbejdsstilling.</w:t>
      </w:r>
      <w:r w:rsidRPr="00C0580F">
        <w:t xml:space="preserve"> </w:t>
      </w:r>
    </w:p>
    <w:p w14:paraId="2A981491" w14:textId="732171A5" w:rsidR="00307F2B" w:rsidRPr="00C0580F" w:rsidRDefault="00307F2B" w:rsidP="00307F2B">
      <w:r w:rsidRPr="00C0580F">
        <w:t xml:space="preserve">Danmark har betydeligt flere læger pr. indbygger end så mange andre lande. Dette forhold skyldes </w:t>
      </w:r>
      <w:r w:rsidR="006D69FB">
        <w:t>som bekendt,</w:t>
      </w:r>
      <w:r w:rsidRPr="00C0580F">
        <w:t xml:space="preserve"> at </w:t>
      </w:r>
      <w:r w:rsidR="00536997">
        <w:t>læger</w:t>
      </w:r>
      <w:r w:rsidRPr="00C0580F">
        <w:t xml:space="preserve"> har en kortere arbejdsuge end de fleste andre lande. Samtidig har der de seneste 10-15 år været en stigende tendens til at læger får ikke-patientrelaterede opgaver, </w:t>
      </w:r>
      <w:r w:rsidR="00A663F7">
        <w:t>særligt i form af administrative opgaver med registreringer</w:t>
      </w:r>
      <w:r w:rsidR="00A25891">
        <w:t>,</w:t>
      </w:r>
      <w:r w:rsidR="00A663F7">
        <w:t xml:space="preserve"> samt IT systemer der fordrer, </w:t>
      </w:r>
      <w:r w:rsidR="00A25891">
        <w:t xml:space="preserve">at </w:t>
      </w:r>
      <w:r w:rsidR="00A663F7">
        <w:t>læger selv skal skrive alt</w:t>
      </w:r>
      <w:r w:rsidR="00E013CA" w:rsidRPr="00C0580F">
        <w:t>. D</w:t>
      </w:r>
      <w:r w:rsidRPr="00C0580F">
        <w:t>e</w:t>
      </w:r>
      <w:r w:rsidR="00A663F7">
        <w:t>r er endvidere stigende krav til speciallægeuddannelsen af yngre og mere uerfarne kollegaer, hvorfor det er nødvendigt at</w:t>
      </w:r>
      <w:r w:rsidRPr="00C0580F">
        <w:t xml:space="preserve"> de uddannelsesansvarlige i højere grad end tidligere får afsat tid til håndtering af opgaver relateret til de uddannelsessøgende. </w:t>
      </w:r>
    </w:p>
    <w:p w14:paraId="1D9BF220" w14:textId="1469D31A" w:rsidR="002910A5" w:rsidRDefault="002910A5" w:rsidP="00EE2941"/>
    <w:p w14:paraId="6AEB119B" w14:textId="479580DF" w:rsidR="00AE0BDE" w:rsidRDefault="00AE0BDE" w:rsidP="00AE0BDE">
      <w:pPr>
        <w:pStyle w:val="Listeafsnit"/>
        <w:numPr>
          <w:ilvl w:val="0"/>
          <w:numId w:val="4"/>
        </w:numPr>
        <w:rPr>
          <w:i/>
        </w:rPr>
      </w:pPr>
      <w:r w:rsidRPr="00AE0BDE">
        <w:rPr>
          <w:i/>
        </w:rPr>
        <w:t xml:space="preserve">Hvilken uddannelseskapacitet anbefales for perioden 2018-2022, og med hvilken begrundelse? </w:t>
      </w:r>
    </w:p>
    <w:p w14:paraId="6584F089" w14:textId="3BD71A44" w:rsidR="00AB5B7C" w:rsidRDefault="00AE0BDE" w:rsidP="00AB5B7C">
      <w:r w:rsidRPr="00DE4DE6">
        <w:t xml:space="preserve">Dansk </w:t>
      </w:r>
      <w:r>
        <w:t>S</w:t>
      </w:r>
      <w:r w:rsidRPr="00DE4DE6">
        <w:t xml:space="preserve">elskab for </w:t>
      </w:r>
      <w:r>
        <w:t>O</w:t>
      </w:r>
      <w:r w:rsidRPr="00DE4DE6">
        <w:t xml:space="preserve">bstetrik og </w:t>
      </w:r>
      <w:r>
        <w:t>G</w:t>
      </w:r>
      <w:r w:rsidRPr="00DE4DE6">
        <w:t xml:space="preserve">ynækologi </w:t>
      </w:r>
      <w:r>
        <w:t xml:space="preserve">og det af selskabet udpegede </w:t>
      </w:r>
      <w:r w:rsidRPr="00DE4DE6">
        <w:t>udvalg</w:t>
      </w:r>
      <w:r>
        <w:rPr>
          <w:rStyle w:val="Fodnotehenvisning"/>
        </w:rPr>
        <w:footnoteReference w:id="2"/>
      </w:r>
      <w:r>
        <w:t xml:space="preserve"> til evaluering af dimensioneringen inden for specialet gynækologi/obstetrik anbefaler en øgning i antallet af hoveduddannelsesforløb </w:t>
      </w:r>
      <w:r w:rsidRPr="0047267F">
        <w:t xml:space="preserve">med 1-2 forløb i videreuddannelsesregion </w:t>
      </w:r>
      <w:r>
        <w:t xml:space="preserve">øst, med 1 i videreuddannelsesregion syd og uforandret i videreuddannelsesregion nord. </w:t>
      </w:r>
      <w:r w:rsidR="00AB5B7C">
        <w:t xml:space="preserve">I den tidligere lægeprognose for 2010-2030 var der som i seneste lægeprognose en forventet stigning i andelen af speciallæger, også for det gynækologisk-obstetriske område (på 21%). På trods ad denne stigning og de sammenlægninger af afdelinger, der har fundet sted inden for de seneste 10 år i hele landet, har det ikke kunnet dække efterspørgslen på gynækologisk-obstetriske speciallæger. </w:t>
      </w:r>
      <w:r w:rsidR="00AB5B7C" w:rsidRPr="00C0580F">
        <w:t>Der er ingen ledighed blandt gynækologiske speciallæger</w:t>
      </w:r>
      <w:r w:rsidR="00AB5B7C">
        <w:t xml:space="preserve"> og for nuværende er kun få speciallæger på deltid eller sygemeldt, hvilket er markant lavere end baggrundsbefolkningens inklusiv andre akademikeres langtidssygemeldinger. Samtidig er der en høj andel af ældre speciallæger, som i nærmeste fremtid enten forventes at blive fritaget for vagt eller gå på pension. </w:t>
      </w:r>
      <w:r w:rsidR="00AB5B7C">
        <w:lastRenderedPageBreak/>
        <w:t xml:space="preserve">De store afdelinger, der er resultat af sammenlægninger, har ført til et af de mest vagtbelastede speciale, med store udfordringer i dagtiden pga. det deraf afledte mindre fremmøde i dagtid. Trods flere speciallægestillinger står vi i dag med udækkede speciallægestillinger i hele landet, i juni 2016 sv.t. mindst 17 fuldtidsspeciallægestillinger. </w:t>
      </w:r>
    </w:p>
    <w:p w14:paraId="6CC1E541" w14:textId="77777777" w:rsidR="00AB5B7C" w:rsidRDefault="00AB5B7C" w:rsidP="00AB5B7C"/>
    <w:p w14:paraId="3375CB75" w14:textId="490B26F6" w:rsidR="00AB5B7C" w:rsidRPr="00AB5B7C" w:rsidRDefault="00AB5B7C" w:rsidP="00AB5B7C">
      <w:pPr>
        <w:pStyle w:val="Listeafsnit"/>
        <w:numPr>
          <w:ilvl w:val="0"/>
          <w:numId w:val="4"/>
        </w:numPr>
        <w:rPr>
          <w:i/>
        </w:rPr>
      </w:pPr>
      <w:r w:rsidRPr="00AB5B7C">
        <w:rPr>
          <w:i/>
        </w:rPr>
        <w:t>Hvilken ratio mellem introduktions- og hoveduddannelsesforløb vurderes nødvendig for dels at sikre et passende antal ansøgere til h-forløbene og dels at sikre, at læger introduceres til specialet?</w:t>
      </w:r>
    </w:p>
    <w:p w14:paraId="4D7FCC61" w14:textId="55197E4D" w:rsidR="00AB5B7C" w:rsidRDefault="00AB5B7C" w:rsidP="00F32DBB">
      <w:pPr>
        <w:rPr>
          <w:b/>
        </w:rPr>
      </w:pPr>
      <w:r>
        <w:t xml:space="preserve">I </w:t>
      </w:r>
      <w:r>
        <w:t xml:space="preserve">videreuddannelsesregion Nord </w:t>
      </w:r>
      <w:r>
        <w:t xml:space="preserve">anbefales </w:t>
      </w:r>
      <w:r>
        <w:t>en øgning i ratioen for introduktionsforløb i forhold til hoveduddannelsesforløb</w:t>
      </w:r>
      <w:r w:rsidR="0037621D">
        <w:t>,</w:t>
      </w:r>
      <w:r>
        <w:t xml:space="preserve"> mens den ønskes uændret i de </w:t>
      </w:r>
      <w:r w:rsidR="0037621D">
        <w:t xml:space="preserve">øvrige </w:t>
      </w:r>
      <w:r>
        <w:t>videreuddannelsesregion</w:t>
      </w:r>
      <w:r w:rsidR="0037621D">
        <w:t>er</w:t>
      </w:r>
      <w:r>
        <w:t xml:space="preserve">. </w:t>
      </w:r>
      <w:r w:rsidR="0037621D">
        <w:t>H-forløbene i nord har få ansøgere, og med en øgning i ratioen af introduktionsforløb forventes flere mulige kandidater til h-forløbene.</w:t>
      </w:r>
    </w:p>
    <w:p w14:paraId="42391074" w14:textId="2B96A68A" w:rsidR="00F32DBB" w:rsidRPr="00650F87" w:rsidRDefault="00F32DBB" w:rsidP="00F32DBB">
      <w:pPr>
        <w:rPr>
          <w:b/>
        </w:rPr>
      </w:pPr>
      <w:r w:rsidRPr="00650F87">
        <w:rPr>
          <w:b/>
        </w:rPr>
        <w:t>Konklusion</w:t>
      </w:r>
    </w:p>
    <w:p w14:paraId="272629CB" w14:textId="07F22F70" w:rsidR="00AB5B7C" w:rsidRDefault="0037621D">
      <w:r>
        <w:t xml:space="preserve">Vores </w:t>
      </w:r>
      <w:r>
        <w:t xml:space="preserve">anbefaling </w:t>
      </w:r>
      <w:r>
        <w:t xml:space="preserve">for antal introduktions- og hoveduddannelsesforløb </w:t>
      </w:r>
      <w:r>
        <w:t>vurderes at kunne imødegå både nationale og regionale udfordringer</w:t>
      </w:r>
      <w:r>
        <w:t xml:space="preserve">. Anbefalingen </w:t>
      </w:r>
      <w:r>
        <w:t xml:space="preserve">er både baseret på en forventet stigning i antal fødsler over de kommende 10 år og på den nuværende lægemangel, samt at andelen af kommende speciallæger inden for de næste 4 år ikke synes at dække den forventede afgang. Samtidig er der en forventning om, at læger i hoveduddannelsesforløb er længere </w:t>
      </w:r>
      <w:r>
        <w:t xml:space="preserve">tid </w:t>
      </w:r>
      <w:r>
        <w:t>under hoveduddannelse pga. afbrudte forløb som følge af særligt barsel</w:t>
      </w:r>
      <w:r>
        <w:t>, pga. lavere kandidatalder ved start på hoveduddannelsesforløb som følge af kortere basisuddannelse og femårsfristen</w:t>
      </w:r>
      <w:r>
        <w:t>. Desuden ses en tendens i retning af ønske om deltid, og/eller overholdelse af en normal arbejdsuge uden mange overarbejdstimer.</w:t>
      </w:r>
      <w:bookmarkStart w:id="0" w:name="_GoBack"/>
      <w:bookmarkEnd w:id="0"/>
    </w:p>
    <w:p w14:paraId="122C13AB" w14:textId="2E5D2D09" w:rsidR="00F32DBB" w:rsidRDefault="00F32DBB">
      <w:r>
        <w:br w:type="page"/>
      </w:r>
    </w:p>
    <w:p w14:paraId="61B27F15" w14:textId="37B557CB" w:rsidR="00F32DBB" w:rsidRDefault="00F32DBB" w:rsidP="005A2DED">
      <w:pPr>
        <w:jc w:val="center"/>
        <w:rPr>
          <w:b/>
        </w:rPr>
      </w:pPr>
      <w:r w:rsidRPr="005A2DED">
        <w:rPr>
          <w:b/>
        </w:rPr>
        <w:lastRenderedPageBreak/>
        <w:t>Figurer og tabeller</w:t>
      </w:r>
    </w:p>
    <w:p w14:paraId="42F5E1EF" w14:textId="44F82BFB" w:rsidR="00C54D9C" w:rsidRPr="00682B5E" w:rsidRDefault="00C54D9C" w:rsidP="00682B5E">
      <w:r w:rsidRPr="00682B5E">
        <w:t>Figurforklaring</w:t>
      </w:r>
      <w:r w:rsidR="00E84BC3">
        <w:t xml:space="preserve"> til </w:t>
      </w:r>
      <w:r w:rsidRPr="00682B5E">
        <w:t>. 1. &lt; 40 år; 2. 40-50, 3: 50-60, 4. &gt;60</w:t>
      </w:r>
    </w:p>
    <w:p w14:paraId="1A2D4369" w14:textId="4C265D88" w:rsidR="00EE71C4" w:rsidRDefault="00EE71C4" w:rsidP="005A2DED">
      <w:pPr>
        <w:pStyle w:val="Billedtekst"/>
        <w:rPr>
          <w:b/>
        </w:rPr>
      </w:pPr>
      <w:bookmarkStart w:id="1" w:name="_Ref463381121"/>
      <w:bookmarkStart w:id="2" w:name="_Ref463381133"/>
      <w:r>
        <w:t xml:space="preserve">Figur </w:t>
      </w:r>
      <w:r w:rsidR="008D51AC">
        <w:fldChar w:fldCharType="begin"/>
      </w:r>
      <w:r w:rsidR="008D51AC">
        <w:instrText xml:space="preserve"> SEQ Figur \* ARABIC </w:instrText>
      </w:r>
      <w:r w:rsidR="008D51AC">
        <w:fldChar w:fldCharType="separate"/>
      </w:r>
      <w:r w:rsidR="00E84BC3">
        <w:rPr>
          <w:noProof/>
        </w:rPr>
        <w:t>1</w:t>
      </w:r>
      <w:r w:rsidR="008D51AC">
        <w:rPr>
          <w:noProof/>
        </w:rPr>
        <w:fldChar w:fldCharType="end"/>
      </w:r>
      <w:bookmarkEnd w:id="1"/>
      <w:r>
        <w:t>: Aldersfordeling for gynækologiske/obstetriske speciallæger ansat på hospital juni 2016</w:t>
      </w:r>
      <w:bookmarkEnd w:id="2"/>
    </w:p>
    <w:p w14:paraId="0F9B6E40" w14:textId="77777777" w:rsidR="00EE71C4" w:rsidRDefault="00EE71C4" w:rsidP="00B02E91">
      <w:pPr>
        <w:rPr>
          <w:b/>
        </w:rPr>
      </w:pPr>
      <w:r>
        <w:rPr>
          <w:noProof/>
          <w:lang w:eastAsia="da-DK"/>
        </w:rPr>
        <w:drawing>
          <wp:inline distT="0" distB="0" distL="0" distR="0" wp14:anchorId="58E1522F" wp14:editId="571AB31C">
            <wp:extent cx="4572000" cy="27432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542C26" w14:textId="663A6ED1" w:rsidR="00275F22" w:rsidRDefault="00275F22" w:rsidP="005A2DED">
      <w:pPr>
        <w:pStyle w:val="Billedtekst"/>
        <w:rPr>
          <w:b/>
        </w:rPr>
      </w:pPr>
      <w:bookmarkStart w:id="3" w:name="_Ref463382277"/>
      <w:r>
        <w:t xml:space="preserve">Figur </w:t>
      </w:r>
      <w:r w:rsidR="008D51AC">
        <w:fldChar w:fldCharType="begin"/>
      </w:r>
      <w:r w:rsidR="008D51AC">
        <w:instrText xml:space="preserve"> SEQ Figur \* ARABIC </w:instrText>
      </w:r>
      <w:r w:rsidR="008D51AC">
        <w:fldChar w:fldCharType="separate"/>
      </w:r>
      <w:r w:rsidR="00E84BC3">
        <w:rPr>
          <w:noProof/>
        </w:rPr>
        <w:t>2</w:t>
      </w:r>
      <w:r w:rsidR="008D51AC">
        <w:rPr>
          <w:noProof/>
        </w:rPr>
        <w:fldChar w:fldCharType="end"/>
      </w:r>
      <w:bookmarkEnd w:id="3"/>
      <w:r>
        <w:t>: Procentuel aldersfordeling for speciallæger</w:t>
      </w:r>
    </w:p>
    <w:p w14:paraId="36561170" w14:textId="77777777" w:rsidR="00275F22" w:rsidRDefault="00275F22" w:rsidP="00B02E91">
      <w:pPr>
        <w:rPr>
          <w:b/>
        </w:rPr>
      </w:pPr>
      <w:r>
        <w:rPr>
          <w:noProof/>
          <w:lang w:eastAsia="da-DK"/>
        </w:rPr>
        <w:drawing>
          <wp:inline distT="0" distB="0" distL="0" distR="0" wp14:anchorId="1EE7CE7B" wp14:editId="3DE90187">
            <wp:extent cx="4572000" cy="274320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7A035F" w14:textId="56A543A7" w:rsidR="00FE0F28" w:rsidRPr="00F32DBB" w:rsidRDefault="00FE0F28" w:rsidP="005A2DED">
      <w:pPr>
        <w:pStyle w:val="Billedtekst"/>
      </w:pPr>
      <w:bookmarkStart w:id="4" w:name="_Ref463384205"/>
      <w:r>
        <w:t xml:space="preserve">Figur </w:t>
      </w:r>
      <w:r w:rsidR="008D51AC">
        <w:fldChar w:fldCharType="begin"/>
      </w:r>
      <w:r w:rsidR="008D51AC">
        <w:instrText xml:space="preserve"> SEQ Figur \* ARABIC </w:instrText>
      </w:r>
      <w:r w:rsidR="008D51AC">
        <w:fldChar w:fldCharType="separate"/>
      </w:r>
      <w:r w:rsidR="00E84BC3">
        <w:rPr>
          <w:noProof/>
        </w:rPr>
        <w:t>3</w:t>
      </w:r>
      <w:r w:rsidR="008D51AC">
        <w:rPr>
          <w:noProof/>
        </w:rPr>
        <w:fldChar w:fldCharType="end"/>
      </w:r>
      <w:bookmarkEnd w:id="4"/>
      <w:r>
        <w:t>: Aldersfordeling blandt speciallæger fordelt på region.</w:t>
      </w:r>
    </w:p>
    <w:p w14:paraId="2EEC5E67" w14:textId="77777777" w:rsidR="00EE71C4" w:rsidRDefault="00AD161A" w:rsidP="006F68DA">
      <w:pPr>
        <w:pStyle w:val="Billedtekst"/>
      </w:pPr>
      <w:r w:rsidRPr="009466E8">
        <w:rPr>
          <w:noProof/>
          <w:lang w:eastAsia="da-DK"/>
        </w:rPr>
        <w:lastRenderedPageBreak/>
        <w:drawing>
          <wp:inline distT="0" distB="0" distL="0" distR="0" wp14:anchorId="3CEE5E66" wp14:editId="1FA845C0">
            <wp:extent cx="4572000" cy="2743200"/>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6F7B49" w14:textId="790E74A4" w:rsidR="00FE0F28" w:rsidRDefault="00FE0F28" w:rsidP="00F32DBB">
      <w:pPr>
        <w:pStyle w:val="Billedtekst"/>
      </w:pPr>
      <w:bookmarkStart w:id="5" w:name="_Ref463384226"/>
      <w:r>
        <w:t xml:space="preserve">Figur </w:t>
      </w:r>
      <w:r w:rsidR="008D51AC">
        <w:fldChar w:fldCharType="begin"/>
      </w:r>
      <w:r w:rsidR="008D51AC">
        <w:instrText xml:space="preserve"> SEQ Figur \* ARABIC </w:instrText>
      </w:r>
      <w:r w:rsidR="008D51AC">
        <w:fldChar w:fldCharType="separate"/>
      </w:r>
      <w:r w:rsidR="00E84BC3">
        <w:rPr>
          <w:noProof/>
        </w:rPr>
        <w:t>4</w:t>
      </w:r>
      <w:r w:rsidR="008D51AC">
        <w:rPr>
          <w:noProof/>
        </w:rPr>
        <w:fldChar w:fldCharType="end"/>
      </w:r>
      <w:bookmarkEnd w:id="5"/>
      <w:r>
        <w:t>: Procentuel aldersfordeling fordelt på region</w:t>
      </w:r>
    </w:p>
    <w:p w14:paraId="1588904C" w14:textId="77777777" w:rsidR="00FE0F28" w:rsidRPr="00F32DBB" w:rsidRDefault="00FE0F28" w:rsidP="005A2DED">
      <w:r>
        <w:rPr>
          <w:noProof/>
          <w:lang w:eastAsia="da-DK"/>
        </w:rPr>
        <w:drawing>
          <wp:inline distT="0" distB="0" distL="0" distR="0" wp14:anchorId="33147A45" wp14:editId="33A3678F">
            <wp:extent cx="4572000" cy="2743200"/>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E2F6D4" w14:textId="77777777" w:rsidR="00E84BC3" w:rsidRDefault="00E84BC3" w:rsidP="006F68DA">
      <w:pPr>
        <w:pStyle w:val="Billedtekst"/>
      </w:pPr>
    </w:p>
    <w:p w14:paraId="0CD0464A" w14:textId="5AAA55C1" w:rsidR="00E84BC3" w:rsidRPr="00682B5E" w:rsidRDefault="00E84BC3" w:rsidP="00E84BC3">
      <w:pPr>
        <w:pStyle w:val="Billedtekst"/>
      </w:pPr>
      <w:bookmarkStart w:id="6" w:name="_Ref465370621"/>
      <w:r>
        <w:t xml:space="preserve">Figur </w:t>
      </w:r>
      <w:r>
        <w:fldChar w:fldCharType="begin"/>
      </w:r>
      <w:r>
        <w:instrText xml:space="preserve"> SEQ Figur \* ARABIC </w:instrText>
      </w:r>
      <w:r>
        <w:fldChar w:fldCharType="separate"/>
      </w:r>
      <w:r>
        <w:rPr>
          <w:noProof/>
        </w:rPr>
        <w:t>5</w:t>
      </w:r>
      <w:r>
        <w:fldChar w:fldCharType="end"/>
      </w:r>
      <w:bookmarkEnd w:id="6"/>
      <w:r w:rsidRPr="00682B5E">
        <w:t>:</w:t>
      </w:r>
      <w:r>
        <w:t xml:space="preserve"> Prognose for antallet af fødsler frem til 2025</w:t>
      </w:r>
    </w:p>
    <w:p w14:paraId="31F7EFB3" w14:textId="5C156580" w:rsidR="00FE0F28" w:rsidRDefault="00E84BC3" w:rsidP="006F68DA">
      <w:pPr>
        <w:pStyle w:val="Billedtekst"/>
      </w:pPr>
      <w:r>
        <w:rPr>
          <w:noProof/>
          <w:lang w:eastAsia="da-DK"/>
        </w:rPr>
        <w:lastRenderedPageBreak/>
        <w:drawing>
          <wp:inline distT="0" distB="0" distL="0" distR="0" wp14:anchorId="60A7ED96" wp14:editId="538EB148">
            <wp:extent cx="6120130" cy="3665855"/>
            <wp:effectExtent l="0" t="0" r="0" b="0"/>
            <wp:docPr id="3" name="Billede 3" descr="cid:image002.png@01D201FB.4F9BD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2.png@01D201FB.4F9BDF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120130" cy="3665855"/>
                    </a:xfrm>
                    <a:prstGeom prst="rect">
                      <a:avLst/>
                    </a:prstGeom>
                    <a:noFill/>
                    <a:ln>
                      <a:noFill/>
                    </a:ln>
                  </pic:spPr>
                </pic:pic>
              </a:graphicData>
            </a:graphic>
          </wp:inline>
        </w:drawing>
      </w:r>
    </w:p>
    <w:p w14:paraId="19447C54" w14:textId="71A947BA" w:rsidR="006F68DA" w:rsidRDefault="006F68DA" w:rsidP="006F68DA">
      <w:pPr>
        <w:pStyle w:val="Billedtekst"/>
      </w:pPr>
      <w:bookmarkStart w:id="7" w:name="_Ref461877888"/>
      <w:bookmarkStart w:id="8" w:name="_Ref461877879"/>
      <w:r>
        <w:t xml:space="preserve">Tabel </w:t>
      </w:r>
      <w:r w:rsidR="007218F5">
        <w:fldChar w:fldCharType="begin"/>
      </w:r>
      <w:r w:rsidR="007D1F94">
        <w:instrText xml:space="preserve"> SEQ Tabel \* ARABIC </w:instrText>
      </w:r>
      <w:r w:rsidR="007218F5">
        <w:fldChar w:fldCharType="separate"/>
      </w:r>
      <w:r w:rsidR="00573A93">
        <w:rPr>
          <w:noProof/>
        </w:rPr>
        <w:t>1</w:t>
      </w:r>
      <w:r w:rsidR="007218F5">
        <w:rPr>
          <w:noProof/>
        </w:rPr>
        <w:fldChar w:fldCharType="end"/>
      </w:r>
      <w:bookmarkEnd w:id="7"/>
      <w:r>
        <w:t xml:space="preserve">: </w:t>
      </w:r>
      <w:r w:rsidRPr="00900C79">
        <w:rPr>
          <w:noProof/>
        </w:rPr>
        <w:t>Antal speciallægepraksis fordelt på type pr. 31. december 2014</w:t>
      </w:r>
      <w:bookmarkEnd w:id="8"/>
    </w:p>
    <w:tbl>
      <w:tblPr>
        <w:tblW w:w="5003" w:type="pct"/>
        <w:tblCellMar>
          <w:left w:w="70" w:type="dxa"/>
          <w:right w:w="70" w:type="dxa"/>
        </w:tblCellMar>
        <w:tblLook w:val="00A0" w:firstRow="1" w:lastRow="0" w:firstColumn="1" w:lastColumn="0" w:noHBand="0" w:noVBand="0"/>
      </w:tblPr>
      <w:tblGrid>
        <w:gridCol w:w="3151"/>
        <w:gridCol w:w="1898"/>
        <w:gridCol w:w="1692"/>
        <w:gridCol w:w="2883"/>
      </w:tblGrid>
      <w:tr w:rsidR="00770505" w:rsidRPr="009C6E93" w14:paraId="77B86075" w14:textId="77777777" w:rsidTr="0047267F">
        <w:trPr>
          <w:trHeight w:val="313"/>
        </w:trPr>
        <w:tc>
          <w:tcPr>
            <w:tcW w:w="1637" w:type="pct"/>
            <w:tcBorders>
              <w:top w:val="single" w:sz="8" w:space="0" w:color="auto"/>
              <w:left w:val="single" w:sz="8" w:space="0" w:color="auto"/>
              <w:bottom w:val="single" w:sz="8" w:space="0" w:color="auto"/>
              <w:right w:val="single" w:sz="8" w:space="0" w:color="auto"/>
            </w:tcBorders>
            <w:shd w:val="clear" w:color="auto" w:fill="D9D9D9"/>
            <w:vAlign w:val="center"/>
          </w:tcPr>
          <w:p w14:paraId="73625AC9" w14:textId="77777777" w:rsidR="00612376" w:rsidRPr="00781719" w:rsidRDefault="00612376" w:rsidP="000929B4">
            <w:r w:rsidRPr="00781719">
              <w:t>Region</w:t>
            </w:r>
          </w:p>
        </w:tc>
        <w:tc>
          <w:tcPr>
            <w:tcW w:w="986" w:type="pct"/>
            <w:tcBorders>
              <w:top w:val="single" w:sz="8" w:space="0" w:color="auto"/>
              <w:left w:val="nil"/>
              <w:bottom w:val="single" w:sz="8" w:space="0" w:color="auto"/>
              <w:right w:val="single" w:sz="8" w:space="0" w:color="auto"/>
            </w:tcBorders>
            <w:shd w:val="clear" w:color="auto" w:fill="D9D9D9"/>
            <w:vAlign w:val="center"/>
          </w:tcPr>
          <w:p w14:paraId="1F41BAAC" w14:textId="77777777" w:rsidR="00612376" w:rsidRPr="00781719" w:rsidRDefault="00612376" w:rsidP="000929B4">
            <w:r w:rsidRPr="00781719">
              <w:t>Fuldtid</w:t>
            </w:r>
          </w:p>
        </w:tc>
        <w:tc>
          <w:tcPr>
            <w:tcW w:w="879" w:type="pct"/>
            <w:tcBorders>
              <w:top w:val="single" w:sz="8" w:space="0" w:color="auto"/>
              <w:left w:val="nil"/>
              <w:bottom w:val="single" w:sz="8" w:space="0" w:color="auto"/>
              <w:right w:val="single" w:sz="8" w:space="0" w:color="auto"/>
            </w:tcBorders>
            <w:shd w:val="clear" w:color="auto" w:fill="D9D9D9"/>
            <w:vAlign w:val="center"/>
          </w:tcPr>
          <w:p w14:paraId="37A31075" w14:textId="77777777" w:rsidR="00612376" w:rsidRPr="00781719" w:rsidRDefault="00612376" w:rsidP="000929B4">
            <w:r w:rsidRPr="00781719">
              <w:t>Deltid</w:t>
            </w:r>
          </w:p>
        </w:tc>
        <w:tc>
          <w:tcPr>
            <w:tcW w:w="1498" w:type="pct"/>
            <w:tcBorders>
              <w:top w:val="single" w:sz="8" w:space="0" w:color="auto"/>
              <w:left w:val="nil"/>
              <w:bottom w:val="single" w:sz="8" w:space="0" w:color="auto"/>
              <w:right w:val="single" w:sz="8" w:space="0" w:color="auto"/>
            </w:tcBorders>
            <w:shd w:val="clear" w:color="auto" w:fill="D9D9D9"/>
          </w:tcPr>
          <w:p w14:paraId="05BB2649" w14:textId="77777777" w:rsidR="00612376" w:rsidRPr="00781719" w:rsidRDefault="00612376" w:rsidP="000929B4">
            <w:r>
              <w:t>Samlet a</w:t>
            </w:r>
            <w:r w:rsidRPr="00781719">
              <w:t>ntal kapaciteter</w:t>
            </w:r>
          </w:p>
        </w:tc>
      </w:tr>
      <w:tr w:rsidR="004B5A44" w:rsidRPr="009C6E93" w14:paraId="21F403DD" w14:textId="77777777" w:rsidTr="00682B5E">
        <w:trPr>
          <w:trHeight w:val="313"/>
        </w:trPr>
        <w:tc>
          <w:tcPr>
            <w:tcW w:w="1637" w:type="pct"/>
            <w:tcBorders>
              <w:top w:val="nil"/>
              <w:left w:val="single" w:sz="8" w:space="0" w:color="auto"/>
              <w:bottom w:val="single" w:sz="8" w:space="0" w:color="auto"/>
              <w:right w:val="single" w:sz="8" w:space="0" w:color="auto"/>
            </w:tcBorders>
            <w:vAlign w:val="center"/>
          </w:tcPr>
          <w:p w14:paraId="77597391" w14:textId="77777777" w:rsidR="00612376" w:rsidRPr="00781719" w:rsidRDefault="00612376" w:rsidP="000929B4">
            <w:r w:rsidRPr="00781719">
              <w:t>Hovedstaden</w:t>
            </w:r>
          </w:p>
        </w:tc>
        <w:tc>
          <w:tcPr>
            <w:tcW w:w="986" w:type="pct"/>
            <w:tcBorders>
              <w:top w:val="nil"/>
              <w:left w:val="nil"/>
              <w:bottom w:val="single" w:sz="8" w:space="0" w:color="auto"/>
              <w:right w:val="single" w:sz="8" w:space="0" w:color="auto"/>
            </w:tcBorders>
            <w:vAlign w:val="center"/>
          </w:tcPr>
          <w:p w14:paraId="3DB386AD" w14:textId="77777777" w:rsidR="00612376" w:rsidRPr="00781719" w:rsidRDefault="00612376" w:rsidP="000929B4">
            <w:pPr>
              <w:jc w:val="right"/>
            </w:pPr>
            <w:r w:rsidRPr="00781719">
              <w:t>4</w:t>
            </w:r>
            <w:r>
              <w:t>2</w:t>
            </w:r>
          </w:p>
        </w:tc>
        <w:tc>
          <w:tcPr>
            <w:tcW w:w="879" w:type="pct"/>
            <w:tcBorders>
              <w:top w:val="nil"/>
              <w:left w:val="nil"/>
              <w:bottom w:val="single" w:sz="8" w:space="0" w:color="auto"/>
              <w:right w:val="single" w:sz="8" w:space="0" w:color="auto"/>
            </w:tcBorders>
            <w:vAlign w:val="center"/>
          </w:tcPr>
          <w:p w14:paraId="2B425E36" w14:textId="77777777" w:rsidR="00612376" w:rsidRPr="00781719" w:rsidRDefault="00612376" w:rsidP="000929B4">
            <w:pPr>
              <w:jc w:val="right"/>
            </w:pPr>
            <w:r w:rsidRPr="00781719">
              <w:t>8</w:t>
            </w:r>
          </w:p>
        </w:tc>
        <w:tc>
          <w:tcPr>
            <w:tcW w:w="1498" w:type="pct"/>
            <w:tcBorders>
              <w:top w:val="nil"/>
              <w:left w:val="nil"/>
              <w:bottom w:val="single" w:sz="8" w:space="0" w:color="auto"/>
              <w:right w:val="single" w:sz="8" w:space="0" w:color="auto"/>
            </w:tcBorders>
            <w:vAlign w:val="bottom"/>
          </w:tcPr>
          <w:p w14:paraId="2C24FC69" w14:textId="77777777" w:rsidR="00612376" w:rsidRPr="00781719" w:rsidRDefault="00612376" w:rsidP="000929B4">
            <w:pPr>
              <w:jc w:val="right"/>
            </w:pPr>
            <w:r w:rsidRPr="00781719">
              <w:t>43,64</w:t>
            </w:r>
          </w:p>
        </w:tc>
      </w:tr>
      <w:tr w:rsidR="004B5A44" w:rsidRPr="009C6E93" w14:paraId="7A076AE9" w14:textId="77777777" w:rsidTr="00682B5E">
        <w:trPr>
          <w:trHeight w:val="313"/>
        </w:trPr>
        <w:tc>
          <w:tcPr>
            <w:tcW w:w="1637" w:type="pct"/>
            <w:tcBorders>
              <w:top w:val="nil"/>
              <w:left w:val="single" w:sz="8" w:space="0" w:color="auto"/>
              <w:bottom w:val="single" w:sz="8" w:space="0" w:color="auto"/>
              <w:right w:val="single" w:sz="8" w:space="0" w:color="auto"/>
            </w:tcBorders>
            <w:vAlign w:val="center"/>
          </w:tcPr>
          <w:p w14:paraId="29450636" w14:textId="77777777" w:rsidR="00612376" w:rsidRPr="00781719" w:rsidRDefault="00612376" w:rsidP="000929B4">
            <w:r w:rsidRPr="00781719">
              <w:t>Midtjylland</w:t>
            </w:r>
          </w:p>
        </w:tc>
        <w:tc>
          <w:tcPr>
            <w:tcW w:w="986" w:type="pct"/>
            <w:tcBorders>
              <w:top w:val="nil"/>
              <w:left w:val="nil"/>
              <w:bottom w:val="single" w:sz="8" w:space="0" w:color="auto"/>
              <w:right w:val="single" w:sz="8" w:space="0" w:color="auto"/>
            </w:tcBorders>
            <w:vAlign w:val="center"/>
          </w:tcPr>
          <w:p w14:paraId="580BFFAF" w14:textId="77777777" w:rsidR="00612376" w:rsidRPr="00781719" w:rsidRDefault="00612376" w:rsidP="000929B4">
            <w:pPr>
              <w:jc w:val="right"/>
            </w:pPr>
            <w:r w:rsidRPr="00781719">
              <w:t>9</w:t>
            </w:r>
          </w:p>
        </w:tc>
        <w:tc>
          <w:tcPr>
            <w:tcW w:w="879" w:type="pct"/>
            <w:tcBorders>
              <w:top w:val="nil"/>
              <w:left w:val="nil"/>
              <w:bottom w:val="single" w:sz="8" w:space="0" w:color="auto"/>
              <w:right w:val="single" w:sz="8" w:space="0" w:color="auto"/>
            </w:tcBorders>
            <w:vAlign w:val="center"/>
          </w:tcPr>
          <w:p w14:paraId="5F5CD402" w14:textId="77777777" w:rsidR="00612376" w:rsidRPr="00781719" w:rsidRDefault="00612376" w:rsidP="000929B4">
            <w:pPr>
              <w:jc w:val="right"/>
            </w:pPr>
            <w:r w:rsidRPr="00781719">
              <w:t>0</w:t>
            </w:r>
          </w:p>
        </w:tc>
        <w:tc>
          <w:tcPr>
            <w:tcW w:w="1498" w:type="pct"/>
            <w:tcBorders>
              <w:top w:val="nil"/>
              <w:left w:val="nil"/>
              <w:bottom w:val="single" w:sz="8" w:space="0" w:color="auto"/>
              <w:right w:val="single" w:sz="8" w:space="0" w:color="auto"/>
            </w:tcBorders>
            <w:vAlign w:val="bottom"/>
          </w:tcPr>
          <w:p w14:paraId="073E3F1A" w14:textId="77777777" w:rsidR="00612376" w:rsidRPr="00781719" w:rsidRDefault="00612376" w:rsidP="000929B4">
            <w:pPr>
              <w:jc w:val="right"/>
            </w:pPr>
            <w:r w:rsidRPr="00781719">
              <w:t>9</w:t>
            </w:r>
          </w:p>
        </w:tc>
      </w:tr>
      <w:tr w:rsidR="004B5A44" w:rsidRPr="009C6E93" w14:paraId="4C57BAAC" w14:textId="77777777" w:rsidTr="00682B5E">
        <w:trPr>
          <w:trHeight w:val="313"/>
        </w:trPr>
        <w:tc>
          <w:tcPr>
            <w:tcW w:w="1637" w:type="pct"/>
            <w:tcBorders>
              <w:top w:val="nil"/>
              <w:left w:val="single" w:sz="8" w:space="0" w:color="auto"/>
              <w:bottom w:val="single" w:sz="8" w:space="0" w:color="auto"/>
              <w:right w:val="single" w:sz="8" w:space="0" w:color="auto"/>
            </w:tcBorders>
            <w:vAlign w:val="center"/>
          </w:tcPr>
          <w:p w14:paraId="099D5BC4" w14:textId="77777777" w:rsidR="00612376" w:rsidRPr="00781719" w:rsidRDefault="00612376" w:rsidP="000929B4">
            <w:r w:rsidRPr="00781719">
              <w:t>Nordjylland</w:t>
            </w:r>
          </w:p>
        </w:tc>
        <w:tc>
          <w:tcPr>
            <w:tcW w:w="986" w:type="pct"/>
            <w:tcBorders>
              <w:top w:val="nil"/>
              <w:left w:val="nil"/>
              <w:bottom w:val="single" w:sz="8" w:space="0" w:color="auto"/>
              <w:right w:val="single" w:sz="8" w:space="0" w:color="auto"/>
            </w:tcBorders>
            <w:vAlign w:val="center"/>
          </w:tcPr>
          <w:p w14:paraId="74D63010" w14:textId="77777777" w:rsidR="00612376" w:rsidRPr="00781719" w:rsidRDefault="00612376" w:rsidP="000929B4">
            <w:pPr>
              <w:jc w:val="right"/>
            </w:pPr>
            <w:r w:rsidRPr="00781719">
              <w:t>2</w:t>
            </w:r>
          </w:p>
        </w:tc>
        <w:tc>
          <w:tcPr>
            <w:tcW w:w="879" w:type="pct"/>
            <w:tcBorders>
              <w:top w:val="nil"/>
              <w:left w:val="nil"/>
              <w:bottom w:val="single" w:sz="8" w:space="0" w:color="auto"/>
              <w:right w:val="single" w:sz="8" w:space="0" w:color="auto"/>
            </w:tcBorders>
            <w:vAlign w:val="center"/>
          </w:tcPr>
          <w:p w14:paraId="57FEC90D" w14:textId="77777777" w:rsidR="00612376" w:rsidRPr="00781719" w:rsidRDefault="00612376" w:rsidP="000929B4">
            <w:pPr>
              <w:jc w:val="right"/>
            </w:pPr>
            <w:r w:rsidRPr="00781719">
              <w:t>0</w:t>
            </w:r>
          </w:p>
        </w:tc>
        <w:tc>
          <w:tcPr>
            <w:tcW w:w="1498" w:type="pct"/>
            <w:tcBorders>
              <w:top w:val="nil"/>
              <w:left w:val="nil"/>
              <w:bottom w:val="single" w:sz="8" w:space="0" w:color="auto"/>
              <w:right w:val="single" w:sz="8" w:space="0" w:color="auto"/>
            </w:tcBorders>
            <w:vAlign w:val="bottom"/>
          </w:tcPr>
          <w:p w14:paraId="6473DFA5" w14:textId="77777777" w:rsidR="00612376" w:rsidRPr="00781719" w:rsidRDefault="00612376" w:rsidP="000929B4">
            <w:pPr>
              <w:jc w:val="right"/>
            </w:pPr>
            <w:r w:rsidRPr="00781719">
              <w:t>2</w:t>
            </w:r>
          </w:p>
        </w:tc>
      </w:tr>
      <w:tr w:rsidR="004B5A44" w:rsidRPr="009C6E93" w14:paraId="18749C59" w14:textId="77777777" w:rsidTr="00682B5E">
        <w:trPr>
          <w:trHeight w:val="313"/>
        </w:trPr>
        <w:tc>
          <w:tcPr>
            <w:tcW w:w="1637" w:type="pct"/>
            <w:tcBorders>
              <w:top w:val="nil"/>
              <w:left w:val="single" w:sz="8" w:space="0" w:color="auto"/>
              <w:bottom w:val="single" w:sz="8" w:space="0" w:color="auto"/>
              <w:right w:val="single" w:sz="8" w:space="0" w:color="auto"/>
            </w:tcBorders>
            <w:vAlign w:val="center"/>
          </w:tcPr>
          <w:p w14:paraId="5CA12A61" w14:textId="77777777" w:rsidR="00612376" w:rsidRPr="00781719" w:rsidRDefault="00612376" w:rsidP="000929B4">
            <w:r w:rsidRPr="00781719">
              <w:t>Sjælland</w:t>
            </w:r>
          </w:p>
        </w:tc>
        <w:tc>
          <w:tcPr>
            <w:tcW w:w="986" w:type="pct"/>
            <w:tcBorders>
              <w:top w:val="nil"/>
              <w:left w:val="nil"/>
              <w:bottom w:val="single" w:sz="8" w:space="0" w:color="auto"/>
              <w:right w:val="single" w:sz="8" w:space="0" w:color="auto"/>
            </w:tcBorders>
            <w:vAlign w:val="center"/>
          </w:tcPr>
          <w:p w14:paraId="2DE3B989" w14:textId="77777777" w:rsidR="00612376" w:rsidRPr="00781719" w:rsidRDefault="00612376" w:rsidP="000929B4">
            <w:pPr>
              <w:jc w:val="right"/>
            </w:pPr>
            <w:r w:rsidRPr="00781719">
              <w:t>8</w:t>
            </w:r>
          </w:p>
        </w:tc>
        <w:tc>
          <w:tcPr>
            <w:tcW w:w="879" w:type="pct"/>
            <w:tcBorders>
              <w:top w:val="nil"/>
              <w:left w:val="nil"/>
              <w:bottom w:val="single" w:sz="8" w:space="0" w:color="auto"/>
              <w:right w:val="single" w:sz="8" w:space="0" w:color="auto"/>
            </w:tcBorders>
            <w:vAlign w:val="center"/>
          </w:tcPr>
          <w:p w14:paraId="14517EA2" w14:textId="77777777" w:rsidR="00612376" w:rsidRPr="00781719" w:rsidRDefault="00612376" w:rsidP="000929B4">
            <w:pPr>
              <w:jc w:val="right"/>
            </w:pPr>
            <w:r w:rsidRPr="00781719">
              <w:t>3</w:t>
            </w:r>
          </w:p>
        </w:tc>
        <w:tc>
          <w:tcPr>
            <w:tcW w:w="1498" w:type="pct"/>
            <w:tcBorders>
              <w:top w:val="nil"/>
              <w:left w:val="nil"/>
              <w:bottom w:val="single" w:sz="8" w:space="0" w:color="auto"/>
              <w:right w:val="single" w:sz="8" w:space="0" w:color="auto"/>
            </w:tcBorders>
            <w:vAlign w:val="bottom"/>
          </w:tcPr>
          <w:p w14:paraId="1573D9BB" w14:textId="77777777" w:rsidR="00612376" w:rsidRPr="00781719" w:rsidRDefault="00612376" w:rsidP="000929B4">
            <w:pPr>
              <w:jc w:val="right"/>
            </w:pPr>
            <w:r w:rsidRPr="00781719">
              <w:t>8,99</w:t>
            </w:r>
          </w:p>
        </w:tc>
      </w:tr>
      <w:tr w:rsidR="004B5A44" w:rsidRPr="009C6E93" w14:paraId="28839BD0" w14:textId="77777777" w:rsidTr="00682B5E">
        <w:trPr>
          <w:trHeight w:val="313"/>
        </w:trPr>
        <w:tc>
          <w:tcPr>
            <w:tcW w:w="1637" w:type="pct"/>
            <w:tcBorders>
              <w:top w:val="nil"/>
              <w:left w:val="single" w:sz="8" w:space="0" w:color="auto"/>
              <w:bottom w:val="single" w:sz="8" w:space="0" w:color="auto"/>
              <w:right w:val="single" w:sz="8" w:space="0" w:color="auto"/>
            </w:tcBorders>
            <w:vAlign w:val="center"/>
          </w:tcPr>
          <w:p w14:paraId="4C9ECBC3" w14:textId="77777777" w:rsidR="00612376" w:rsidRPr="00781719" w:rsidRDefault="00612376" w:rsidP="000929B4">
            <w:r w:rsidRPr="00781719">
              <w:t>Syddanmark</w:t>
            </w:r>
          </w:p>
        </w:tc>
        <w:tc>
          <w:tcPr>
            <w:tcW w:w="986" w:type="pct"/>
            <w:tcBorders>
              <w:top w:val="nil"/>
              <w:left w:val="nil"/>
              <w:bottom w:val="single" w:sz="8" w:space="0" w:color="auto"/>
              <w:right w:val="single" w:sz="8" w:space="0" w:color="auto"/>
            </w:tcBorders>
            <w:vAlign w:val="center"/>
          </w:tcPr>
          <w:p w14:paraId="02FBD1FC" w14:textId="77777777" w:rsidR="00612376" w:rsidRPr="00781719" w:rsidRDefault="00612376" w:rsidP="000929B4">
            <w:pPr>
              <w:jc w:val="right"/>
            </w:pPr>
            <w:r w:rsidRPr="00781719">
              <w:t>1</w:t>
            </w:r>
            <w:r>
              <w:t>2</w:t>
            </w:r>
          </w:p>
        </w:tc>
        <w:tc>
          <w:tcPr>
            <w:tcW w:w="879" w:type="pct"/>
            <w:tcBorders>
              <w:top w:val="nil"/>
              <w:left w:val="nil"/>
              <w:bottom w:val="single" w:sz="8" w:space="0" w:color="auto"/>
              <w:right w:val="single" w:sz="8" w:space="0" w:color="auto"/>
            </w:tcBorders>
            <w:vAlign w:val="center"/>
          </w:tcPr>
          <w:p w14:paraId="11B3515E" w14:textId="77777777" w:rsidR="00612376" w:rsidRPr="00781719" w:rsidRDefault="00612376" w:rsidP="000929B4">
            <w:pPr>
              <w:jc w:val="right"/>
            </w:pPr>
            <w:r w:rsidRPr="00781719">
              <w:t>2</w:t>
            </w:r>
          </w:p>
        </w:tc>
        <w:tc>
          <w:tcPr>
            <w:tcW w:w="1498" w:type="pct"/>
            <w:tcBorders>
              <w:top w:val="nil"/>
              <w:left w:val="nil"/>
              <w:bottom w:val="single" w:sz="8" w:space="0" w:color="auto"/>
              <w:right w:val="single" w:sz="8" w:space="0" w:color="auto"/>
            </w:tcBorders>
            <w:vAlign w:val="bottom"/>
          </w:tcPr>
          <w:p w14:paraId="27454C0F" w14:textId="77777777" w:rsidR="00612376" w:rsidRPr="00781719" w:rsidRDefault="00612376" w:rsidP="000929B4">
            <w:pPr>
              <w:jc w:val="right"/>
            </w:pPr>
            <w:r w:rsidRPr="00781719">
              <w:t>11,66</w:t>
            </w:r>
          </w:p>
        </w:tc>
      </w:tr>
      <w:tr w:rsidR="004B5A44" w:rsidRPr="009C6E93" w14:paraId="72E84652" w14:textId="77777777" w:rsidTr="00682B5E">
        <w:trPr>
          <w:trHeight w:val="313"/>
        </w:trPr>
        <w:tc>
          <w:tcPr>
            <w:tcW w:w="1637" w:type="pct"/>
            <w:tcBorders>
              <w:top w:val="nil"/>
              <w:left w:val="single" w:sz="8" w:space="0" w:color="auto"/>
              <w:bottom w:val="single" w:sz="8" w:space="0" w:color="auto"/>
              <w:right w:val="single" w:sz="8" w:space="0" w:color="auto"/>
            </w:tcBorders>
            <w:vAlign w:val="center"/>
          </w:tcPr>
          <w:p w14:paraId="5BFD5586" w14:textId="77777777" w:rsidR="00612376" w:rsidRPr="00781719" w:rsidRDefault="00612376" w:rsidP="000929B4">
            <w:r w:rsidRPr="00781719">
              <w:t>I alt</w:t>
            </w:r>
          </w:p>
        </w:tc>
        <w:tc>
          <w:tcPr>
            <w:tcW w:w="986" w:type="pct"/>
            <w:tcBorders>
              <w:top w:val="nil"/>
              <w:left w:val="nil"/>
              <w:bottom w:val="single" w:sz="8" w:space="0" w:color="auto"/>
              <w:right w:val="single" w:sz="8" w:space="0" w:color="auto"/>
            </w:tcBorders>
            <w:vAlign w:val="center"/>
          </w:tcPr>
          <w:p w14:paraId="20C6E327" w14:textId="77777777" w:rsidR="00612376" w:rsidRPr="00781719" w:rsidRDefault="00612376" w:rsidP="000929B4">
            <w:pPr>
              <w:jc w:val="right"/>
            </w:pPr>
            <w:r w:rsidRPr="00781719">
              <w:t>7</w:t>
            </w:r>
            <w:r>
              <w:t>3</w:t>
            </w:r>
          </w:p>
        </w:tc>
        <w:tc>
          <w:tcPr>
            <w:tcW w:w="879" w:type="pct"/>
            <w:tcBorders>
              <w:top w:val="nil"/>
              <w:left w:val="nil"/>
              <w:bottom w:val="single" w:sz="8" w:space="0" w:color="auto"/>
              <w:right w:val="single" w:sz="8" w:space="0" w:color="auto"/>
            </w:tcBorders>
            <w:vAlign w:val="center"/>
          </w:tcPr>
          <w:p w14:paraId="0905111C" w14:textId="77777777" w:rsidR="00612376" w:rsidRPr="00781719" w:rsidRDefault="00612376" w:rsidP="000929B4">
            <w:pPr>
              <w:jc w:val="right"/>
            </w:pPr>
            <w:r w:rsidRPr="00781719">
              <w:t>13</w:t>
            </w:r>
          </w:p>
        </w:tc>
        <w:tc>
          <w:tcPr>
            <w:tcW w:w="1498" w:type="pct"/>
            <w:tcBorders>
              <w:top w:val="nil"/>
              <w:left w:val="nil"/>
              <w:bottom w:val="single" w:sz="8" w:space="0" w:color="auto"/>
              <w:right w:val="single" w:sz="8" w:space="0" w:color="auto"/>
            </w:tcBorders>
            <w:vAlign w:val="bottom"/>
          </w:tcPr>
          <w:p w14:paraId="226E0CA8" w14:textId="77777777" w:rsidR="00612376" w:rsidRPr="00781719" w:rsidRDefault="00612376" w:rsidP="000929B4">
            <w:pPr>
              <w:jc w:val="right"/>
            </w:pPr>
            <w:r w:rsidRPr="00781719">
              <w:t>75,29</w:t>
            </w:r>
          </w:p>
        </w:tc>
      </w:tr>
    </w:tbl>
    <w:p w14:paraId="53DEA7F5" w14:textId="77777777" w:rsidR="00612376" w:rsidRPr="00781719" w:rsidRDefault="00612376" w:rsidP="00612376">
      <w:r>
        <w:t>F</w:t>
      </w:r>
      <w:r w:rsidRPr="00781719">
        <w:t xml:space="preserve">uldtidskapacitet </w:t>
      </w:r>
      <w:r>
        <w:t xml:space="preserve">tæller </w:t>
      </w:r>
      <w:r w:rsidRPr="00781719">
        <w:t>1 og deltidskapacitet 0,33</w:t>
      </w:r>
      <w:r>
        <w:t xml:space="preserve">. </w:t>
      </w:r>
      <w:r w:rsidRPr="00781719">
        <w:t>Kilde: CSC</w:t>
      </w:r>
    </w:p>
    <w:p w14:paraId="1FDE38B3" w14:textId="3291E715" w:rsidR="00612376" w:rsidRPr="00D6128E" w:rsidRDefault="006F68DA" w:rsidP="006F68DA">
      <w:pPr>
        <w:pStyle w:val="Billedtekst"/>
      </w:pPr>
      <w:bookmarkStart w:id="9" w:name="_Ref461878002"/>
      <w:r>
        <w:t xml:space="preserve">Tabel </w:t>
      </w:r>
      <w:r w:rsidR="007218F5">
        <w:fldChar w:fldCharType="begin"/>
      </w:r>
      <w:r w:rsidR="007D1F94">
        <w:instrText xml:space="preserve"> SEQ Tabel \* ARABIC </w:instrText>
      </w:r>
      <w:r w:rsidR="007218F5">
        <w:fldChar w:fldCharType="separate"/>
      </w:r>
      <w:r w:rsidR="00573A93">
        <w:rPr>
          <w:noProof/>
        </w:rPr>
        <w:t>2</w:t>
      </w:r>
      <w:r w:rsidR="007218F5">
        <w:rPr>
          <w:noProof/>
        </w:rPr>
        <w:fldChar w:fldCharType="end"/>
      </w:r>
      <w:r>
        <w:t xml:space="preserve">. </w:t>
      </w:r>
      <w:r w:rsidRPr="0030611F">
        <w:t>Alder fordelt på køn pr. 31. december 2014</w:t>
      </w:r>
      <w:bookmarkEnd w:id="9"/>
    </w:p>
    <w:tbl>
      <w:tblPr>
        <w:tblW w:w="5000" w:type="pct"/>
        <w:tblCellMar>
          <w:left w:w="70" w:type="dxa"/>
          <w:right w:w="70" w:type="dxa"/>
        </w:tblCellMar>
        <w:tblLook w:val="00A0" w:firstRow="1" w:lastRow="0" w:firstColumn="1" w:lastColumn="0" w:noHBand="0" w:noVBand="0"/>
      </w:tblPr>
      <w:tblGrid>
        <w:gridCol w:w="1256"/>
        <w:gridCol w:w="1045"/>
        <w:gridCol w:w="1045"/>
        <w:gridCol w:w="1046"/>
        <w:gridCol w:w="1046"/>
        <w:gridCol w:w="1046"/>
        <w:gridCol w:w="1046"/>
        <w:gridCol w:w="1045"/>
        <w:gridCol w:w="1043"/>
      </w:tblGrid>
      <w:tr w:rsidR="00770505" w:rsidRPr="009C6E93" w14:paraId="2BD18728" w14:textId="77777777">
        <w:trPr>
          <w:trHeight w:val="326"/>
        </w:trPr>
        <w:tc>
          <w:tcPr>
            <w:tcW w:w="653" w:type="pct"/>
            <w:tcBorders>
              <w:top w:val="single" w:sz="8" w:space="0" w:color="auto"/>
              <w:left w:val="single" w:sz="8" w:space="0" w:color="auto"/>
              <w:bottom w:val="single" w:sz="8" w:space="0" w:color="auto"/>
              <w:right w:val="single" w:sz="8" w:space="0" w:color="auto"/>
            </w:tcBorders>
            <w:shd w:val="clear" w:color="auto" w:fill="D9D9D9"/>
            <w:vAlign w:val="center"/>
          </w:tcPr>
          <w:p w14:paraId="2B31E493" w14:textId="77777777" w:rsidR="00612376" w:rsidRPr="00781719" w:rsidRDefault="00612376" w:rsidP="000929B4">
            <w:r w:rsidRPr="00781719">
              <w:t>Køn</w:t>
            </w:r>
          </w:p>
        </w:tc>
        <w:tc>
          <w:tcPr>
            <w:tcW w:w="543" w:type="pct"/>
            <w:tcBorders>
              <w:top w:val="single" w:sz="8" w:space="0" w:color="auto"/>
              <w:left w:val="nil"/>
              <w:bottom w:val="single" w:sz="8" w:space="0" w:color="auto"/>
              <w:right w:val="single" w:sz="8" w:space="0" w:color="auto"/>
            </w:tcBorders>
            <w:shd w:val="clear" w:color="auto" w:fill="D9D9D9"/>
            <w:vAlign w:val="center"/>
          </w:tcPr>
          <w:p w14:paraId="341AA210" w14:textId="77777777" w:rsidR="00612376" w:rsidRPr="00781719" w:rsidRDefault="00612376" w:rsidP="000929B4">
            <w:pPr>
              <w:jc w:val="right"/>
            </w:pPr>
            <w:r w:rsidRPr="00781719">
              <w:t>40-44</w:t>
            </w:r>
          </w:p>
        </w:tc>
        <w:tc>
          <w:tcPr>
            <w:tcW w:w="543" w:type="pct"/>
            <w:tcBorders>
              <w:top w:val="single" w:sz="8" w:space="0" w:color="auto"/>
              <w:left w:val="nil"/>
              <w:bottom w:val="single" w:sz="8" w:space="0" w:color="auto"/>
              <w:right w:val="single" w:sz="8" w:space="0" w:color="auto"/>
            </w:tcBorders>
            <w:shd w:val="clear" w:color="auto" w:fill="D9D9D9"/>
            <w:vAlign w:val="center"/>
          </w:tcPr>
          <w:p w14:paraId="7CC7FE4D" w14:textId="77777777" w:rsidR="00612376" w:rsidRPr="00781719" w:rsidRDefault="00612376" w:rsidP="000929B4">
            <w:pPr>
              <w:jc w:val="right"/>
            </w:pPr>
            <w:r w:rsidRPr="00781719">
              <w:t>45-49</w:t>
            </w:r>
          </w:p>
        </w:tc>
        <w:tc>
          <w:tcPr>
            <w:tcW w:w="544" w:type="pct"/>
            <w:tcBorders>
              <w:top w:val="single" w:sz="8" w:space="0" w:color="auto"/>
              <w:left w:val="nil"/>
              <w:bottom w:val="single" w:sz="8" w:space="0" w:color="auto"/>
              <w:right w:val="single" w:sz="8" w:space="0" w:color="auto"/>
            </w:tcBorders>
            <w:shd w:val="clear" w:color="auto" w:fill="D9D9D9"/>
            <w:vAlign w:val="center"/>
          </w:tcPr>
          <w:p w14:paraId="1F73BC8C" w14:textId="77777777" w:rsidR="00612376" w:rsidRPr="00781719" w:rsidRDefault="00612376" w:rsidP="000929B4">
            <w:pPr>
              <w:jc w:val="right"/>
            </w:pPr>
            <w:r w:rsidRPr="00781719">
              <w:t>50-54</w:t>
            </w:r>
          </w:p>
        </w:tc>
        <w:tc>
          <w:tcPr>
            <w:tcW w:w="544" w:type="pct"/>
            <w:tcBorders>
              <w:top w:val="single" w:sz="8" w:space="0" w:color="auto"/>
              <w:left w:val="nil"/>
              <w:bottom w:val="single" w:sz="8" w:space="0" w:color="auto"/>
              <w:right w:val="single" w:sz="8" w:space="0" w:color="auto"/>
            </w:tcBorders>
            <w:shd w:val="clear" w:color="auto" w:fill="D9D9D9"/>
            <w:vAlign w:val="center"/>
          </w:tcPr>
          <w:p w14:paraId="361501FB" w14:textId="77777777" w:rsidR="00612376" w:rsidRPr="00781719" w:rsidRDefault="00612376" w:rsidP="000929B4">
            <w:pPr>
              <w:jc w:val="right"/>
            </w:pPr>
            <w:r w:rsidRPr="00781719">
              <w:t>55-59</w:t>
            </w:r>
          </w:p>
        </w:tc>
        <w:tc>
          <w:tcPr>
            <w:tcW w:w="544" w:type="pct"/>
            <w:tcBorders>
              <w:top w:val="single" w:sz="8" w:space="0" w:color="auto"/>
              <w:left w:val="nil"/>
              <w:bottom w:val="single" w:sz="8" w:space="0" w:color="auto"/>
              <w:right w:val="single" w:sz="8" w:space="0" w:color="auto"/>
            </w:tcBorders>
            <w:shd w:val="clear" w:color="auto" w:fill="D9D9D9"/>
            <w:vAlign w:val="center"/>
          </w:tcPr>
          <w:p w14:paraId="5EF9B9B9" w14:textId="77777777" w:rsidR="00612376" w:rsidRPr="00781719" w:rsidRDefault="00612376" w:rsidP="000929B4">
            <w:pPr>
              <w:jc w:val="right"/>
            </w:pPr>
            <w:r w:rsidRPr="00781719">
              <w:t>60-64</w:t>
            </w:r>
          </w:p>
        </w:tc>
        <w:tc>
          <w:tcPr>
            <w:tcW w:w="544" w:type="pct"/>
            <w:tcBorders>
              <w:top w:val="single" w:sz="8" w:space="0" w:color="auto"/>
              <w:left w:val="nil"/>
              <w:bottom w:val="single" w:sz="8" w:space="0" w:color="auto"/>
              <w:right w:val="single" w:sz="8" w:space="0" w:color="auto"/>
            </w:tcBorders>
            <w:shd w:val="clear" w:color="auto" w:fill="D9D9D9"/>
            <w:vAlign w:val="center"/>
          </w:tcPr>
          <w:p w14:paraId="2D56C93F" w14:textId="77777777" w:rsidR="00612376" w:rsidRPr="00781719" w:rsidRDefault="00612376" w:rsidP="000929B4">
            <w:pPr>
              <w:jc w:val="right"/>
            </w:pPr>
            <w:r w:rsidRPr="00781719">
              <w:t>65-69</w:t>
            </w:r>
          </w:p>
        </w:tc>
        <w:tc>
          <w:tcPr>
            <w:tcW w:w="543" w:type="pct"/>
            <w:tcBorders>
              <w:top w:val="single" w:sz="8" w:space="0" w:color="auto"/>
              <w:left w:val="nil"/>
              <w:bottom w:val="single" w:sz="8" w:space="0" w:color="auto"/>
              <w:right w:val="single" w:sz="8" w:space="0" w:color="auto"/>
            </w:tcBorders>
            <w:shd w:val="clear" w:color="auto" w:fill="D9D9D9"/>
            <w:vAlign w:val="center"/>
          </w:tcPr>
          <w:p w14:paraId="757343F6" w14:textId="77777777" w:rsidR="00612376" w:rsidRPr="00781719" w:rsidRDefault="00612376" w:rsidP="000929B4">
            <w:pPr>
              <w:jc w:val="right"/>
            </w:pPr>
            <w:r w:rsidRPr="00781719">
              <w:t>70-74</w:t>
            </w:r>
          </w:p>
        </w:tc>
        <w:tc>
          <w:tcPr>
            <w:tcW w:w="542" w:type="pct"/>
            <w:tcBorders>
              <w:top w:val="single" w:sz="8" w:space="0" w:color="auto"/>
              <w:left w:val="nil"/>
              <w:bottom w:val="single" w:sz="8" w:space="0" w:color="auto"/>
              <w:right w:val="single" w:sz="8" w:space="0" w:color="auto"/>
            </w:tcBorders>
            <w:shd w:val="clear" w:color="auto" w:fill="D9D9D9"/>
          </w:tcPr>
          <w:p w14:paraId="6203188B" w14:textId="77777777" w:rsidR="00612376" w:rsidRPr="00781719" w:rsidRDefault="00612376" w:rsidP="000929B4">
            <w:pPr>
              <w:jc w:val="right"/>
            </w:pPr>
            <w:r w:rsidRPr="00781719">
              <w:t>I alt</w:t>
            </w:r>
          </w:p>
        </w:tc>
      </w:tr>
      <w:tr w:rsidR="004B5A44" w:rsidRPr="009C6E93" w14:paraId="6BE63EBE" w14:textId="77777777" w:rsidTr="00682B5E">
        <w:trPr>
          <w:trHeight w:val="326"/>
        </w:trPr>
        <w:tc>
          <w:tcPr>
            <w:tcW w:w="653" w:type="pct"/>
            <w:tcBorders>
              <w:top w:val="nil"/>
              <w:left w:val="single" w:sz="8" w:space="0" w:color="auto"/>
              <w:bottom w:val="single" w:sz="8" w:space="0" w:color="auto"/>
              <w:right w:val="single" w:sz="8" w:space="0" w:color="auto"/>
            </w:tcBorders>
            <w:vAlign w:val="center"/>
          </w:tcPr>
          <w:p w14:paraId="203ACA46" w14:textId="77777777" w:rsidR="00612376" w:rsidRPr="00781719" w:rsidRDefault="00612376" w:rsidP="000929B4">
            <w:r w:rsidRPr="00781719">
              <w:t>Kvinde</w:t>
            </w:r>
          </w:p>
        </w:tc>
        <w:tc>
          <w:tcPr>
            <w:tcW w:w="543" w:type="pct"/>
            <w:tcBorders>
              <w:top w:val="nil"/>
              <w:left w:val="nil"/>
              <w:bottom w:val="single" w:sz="8" w:space="0" w:color="auto"/>
              <w:right w:val="single" w:sz="8" w:space="0" w:color="auto"/>
            </w:tcBorders>
            <w:vAlign w:val="center"/>
          </w:tcPr>
          <w:p w14:paraId="0A6E9083" w14:textId="77777777" w:rsidR="00612376" w:rsidRPr="00781719" w:rsidRDefault="00612376" w:rsidP="000929B4">
            <w:pPr>
              <w:jc w:val="right"/>
            </w:pPr>
            <w:r w:rsidRPr="00781719">
              <w:t>4</w:t>
            </w:r>
          </w:p>
        </w:tc>
        <w:tc>
          <w:tcPr>
            <w:tcW w:w="543" w:type="pct"/>
            <w:tcBorders>
              <w:top w:val="nil"/>
              <w:left w:val="nil"/>
              <w:bottom w:val="single" w:sz="8" w:space="0" w:color="auto"/>
              <w:right w:val="single" w:sz="8" w:space="0" w:color="auto"/>
            </w:tcBorders>
            <w:vAlign w:val="center"/>
          </w:tcPr>
          <w:p w14:paraId="4EAAA417" w14:textId="77777777" w:rsidR="00612376" w:rsidRPr="00781719" w:rsidRDefault="00612376" w:rsidP="000929B4">
            <w:pPr>
              <w:jc w:val="right"/>
            </w:pPr>
            <w:r w:rsidRPr="00781719">
              <w:t>3</w:t>
            </w:r>
          </w:p>
        </w:tc>
        <w:tc>
          <w:tcPr>
            <w:tcW w:w="544" w:type="pct"/>
            <w:tcBorders>
              <w:top w:val="nil"/>
              <w:left w:val="nil"/>
              <w:bottom w:val="single" w:sz="8" w:space="0" w:color="auto"/>
              <w:right w:val="single" w:sz="8" w:space="0" w:color="auto"/>
            </w:tcBorders>
            <w:vAlign w:val="center"/>
          </w:tcPr>
          <w:p w14:paraId="0365F088" w14:textId="77777777" w:rsidR="00612376" w:rsidRPr="00781719" w:rsidRDefault="00612376" w:rsidP="000929B4">
            <w:pPr>
              <w:jc w:val="right"/>
            </w:pPr>
            <w:r w:rsidRPr="00781719">
              <w:t>13</w:t>
            </w:r>
          </w:p>
        </w:tc>
        <w:tc>
          <w:tcPr>
            <w:tcW w:w="544" w:type="pct"/>
            <w:tcBorders>
              <w:top w:val="nil"/>
              <w:left w:val="nil"/>
              <w:bottom w:val="single" w:sz="8" w:space="0" w:color="auto"/>
              <w:right w:val="single" w:sz="8" w:space="0" w:color="auto"/>
            </w:tcBorders>
            <w:vAlign w:val="center"/>
          </w:tcPr>
          <w:p w14:paraId="78C953A4" w14:textId="77777777" w:rsidR="00612376" w:rsidRPr="00781719" w:rsidRDefault="00612376" w:rsidP="000929B4">
            <w:pPr>
              <w:jc w:val="right"/>
            </w:pPr>
            <w:r w:rsidRPr="00781719">
              <w:t>16</w:t>
            </w:r>
          </w:p>
        </w:tc>
        <w:tc>
          <w:tcPr>
            <w:tcW w:w="544" w:type="pct"/>
            <w:tcBorders>
              <w:top w:val="nil"/>
              <w:left w:val="nil"/>
              <w:bottom w:val="single" w:sz="8" w:space="0" w:color="auto"/>
              <w:right w:val="single" w:sz="8" w:space="0" w:color="auto"/>
            </w:tcBorders>
            <w:vAlign w:val="center"/>
          </w:tcPr>
          <w:p w14:paraId="5E9AAA4B" w14:textId="77777777" w:rsidR="00612376" w:rsidRPr="00781719" w:rsidRDefault="00612376" w:rsidP="000929B4">
            <w:pPr>
              <w:jc w:val="right"/>
            </w:pPr>
            <w:r w:rsidRPr="00781719">
              <w:t>6</w:t>
            </w:r>
          </w:p>
        </w:tc>
        <w:tc>
          <w:tcPr>
            <w:tcW w:w="544" w:type="pct"/>
            <w:tcBorders>
              <w:top w:val="nil"/>
              <w:left w:val="nil"/>
              <w:bottom w:val="single" w:sz="8" w:space="0" w:color="auto"/>
              <w:right w:val="single" w:sz="8" w:space="0" w:color="auto"/>
            </w:tcBorders>
            <w:vAlign w:val="center"/>
          </w:tcPr>
          <w:p w14:paraId="6E83F8DA" w14:textId="77777777" w:rsidR="00612376" w:rsidRPr="00781719" w:rsidRDefault="00612376" w:rsidP="000929B4">
            <w:pPr>
              <w:jc w:val="right"/>
            </w:pPr>
            <w:r w:rsidRPr="00781719">
              <w:t>2</w:t>
            </w:r>
          </w:p>
        </w:tc>
        <w:tc>
          <w:tcPr>
            <w:tcW w:w="543" w:type="pct"/>
            <w:tcBorders>
              <w:top w:val="nil"/>
              <w:left w:val="nil"/>
              <w:bottom w:val="single" w:sz="8" w:space="0" w:color="auto"/>
              <w:right w:val="single" w:sz="8" w:space="0" w:color="auto"/>
            </w:tcBorders>
            <w:vAlign w:val="center"/>
          </w:tcPr>
          <w:p w14:paraId="57EEBBD4" w14:textId="77777777" w:rsidR="00612376" w:rsidRPr="00781719" w:rsidRDefault="00612376" w:rsidP="000929B4">
            <w:pPr>
              <w:jc w:val="right"/>
            </w:pPr>
            <w:r w:rsidRPr="00781719">
              <w:t>0</w:t>
            </w:r>
          </w:p>
        </w:tc>
        <w:tc>
          <w:tcPr>
            <w:tcW w:w="542" w:type="pct"/>
            <w:tcBorders>
              <w:top w:val="nil"/>
              <w:left w:val="nil"/>
              <w:bottom w:val="single" w:sz="8" w:space="0" w:color="auto"/>
              <w:right w:val="single" w:sz="8" w:space="0" w:color="auto"/>
            </w:tcBorders>
          </w:tcPr>
          <w:p w14:paraId="7CA89EEF" w14:textId="77777777" w:rsidR="00612376" w:rsidRPr="00781719" w:rsidRDefault="00612376" w:rsidP="000929B4">
            <w:pPr>
              <w:jc w:val="right"/>
            </w:pPr>
            <w:r w:rsidRPr="00781719">
              <w:t>44</w:t>
            </w:r>
          </w:p>
        </w:tc>
      </w:tr>
      <w:tr w:rsidR="004B5A44" w:rsidRPr="009C6E93" w14:paraId="42407D03" w14:textId="77777777" w:rsidTr="00682B5E">
        <w:trPr>
          <w:trHeight w:val="326"/>
        </w:trPr>
        <w:tc>
          <w:tcPr>
            <w:tcW w:w="653" w:type="pct"/>
            <w:tcBorders>
              <w:top w:val="nil"/>
              <w:left w:val="single" w:sz="8" w:space="0" w:color="auto"/>
              <w:bottom w:val="single" w:sz="8" w:space="0" w:color="auto"/>
              <w:right w:val="single" w:sz="8" w:space="0" w:color="auto"/>
            </w:tcBorders>
            <w:vAlign w:val="center"/>
          </w:tcPr>
          <w:p w14:paraId="7B01EC0A" w14:textId="77777777" w:rsidR="00612376" w:rsidRPr="00781719" w:rsidRDefault="00612376" w:rsidP="000929B4">
            <w:r w:rsidRPr="00781719">
              <w:t>Mand</w:t>
            </w:r>
          </w:p>
        </w:tc>
        <w:tc>
          <w:tcPr>
            <w:tcW w:w="543" w:type="pct"/>
            <w:tcBorders>
              <w:top w:val="nil"/>
              <w:left w:val="nil"/>
              <w:bottom w:val="single" w:sz="8" w:space="0" w:color="auto"/>
              <w:right w:val="single" w:sz="8" w:space="0" w:color="auto"/>
            </w:tcBorders>
            <w:vAlign w:val="center"/>
          </w:tcPr>
          <w:p w14:paraId="13C946ED" w14:textId="77777777" w:rsidR="00612376" w:rsidRPr="00781719" w:rsidRDefault="00612376" w:rsidP="000929B4">
            <w:pPr>
              <w:jc w:val="right"/>
            </w:pPr>
            <w:r w:rsidRPr="00781719">
              <w:t>0</w:t>
            </w:r>
          </w:p>
        </w:tc>
        <w:tc>
          <w:tcPr>
            <w:tcW w:w="543" w:type="pct"/>
            <w:tcBorders>
              <w:top w:val="nil"/>
              <w:left w:val="nil"/>
              <w:bottom w:val="single" w:sz="8" w:space="0" w:color="auto"/>
              <w:right w:val="single" w:sz="8" w:space="0" w:color="auto"/>
            </w:tcBorders>
            <w:vAlign w:val="center"/>
          </w:tcPr>
          <w:p w14:paraId="2BB2BF5A" w14:textId="77777777" w:rsidR="00612376" w:rsidRPr="00781719" w:rsidRDefault="00612376" w:rsidP="000929B4">
            <w:pPr>
              <w:jc w:val="right"/>
            </w:pPr>
            <w:r w:rsidRPr="00781719">
              <w:t>3</w:t>
            </w:r>
          </w:p>
        </w:tc>
        <w:tc>
          <w:tcPr>
            <w:tcW w:w="544" w:type="pct"/>
            <w:tcBorders>
              <w:top w:val="nil"/>
              <w:left w:val="nil"/>
              <w:bottom w:val="single" w:sz="8" w:space="0" w:color="auto"/>
              <w:right w:val="single" w:sz="8" w:space="0" w:color="auto"/>
            </w:tcBorders>
            <w:vAlign w:val="center"/>
          </w:tcPr>
          <w:p w14:paraId="03639D97" w14:textId="77777777" w:rsidR="00612376" w:rsidRPr="00781719" w:rsidRDefault="00612376" w:rsidP="000929B4">
            <w:pPr>
              <w:jc w:val="right"/>
            </w:pPr>
            <w:r w:rsidRPr="00781719">
              <w:t>6</w:t>
            </w:r>
          </w:p>
        </w:tc>
        <w:tc>
          <w:tcPr>
            <w:tcW w:w="544" w:type="pct"/>
            <w:tcBorders>
              <w:top w:val="nil"/>
              <w:left w:val="nil"/>
              <w:bottom w:val="single" w:sz="8" w:space="0" w:color="auto"/>
              <w:right w:val="single" w:sz="8" w:space="0" w:color="auto"/>
            </w:tcBorders>
            <w:vAlign w:val="center"/>
          </w:tcPr>
          <w:p w14:paraId="1FA15EAF" w14:textId="77777777" w:rsidR="00612376" w:rsidRPr="00781719" w:rsidRDefault="00612376" w:rsidP="000929B4">
            <w:pPr>
              <w:jc w:val="right"/>
            </w:pPr>
            <w:r w:rsidRPr="00781719">
              <w:t>13</w:t>
            </w:r>
          </w:p>
        </w:tc>
        <w:tc>
          <w:tcPr>
            <w:tcW w:w="544" w:type="pct"/>
            <w:tcBorders>
              <w:top w:val="nil"/>
              <w:left w:val="nil"/>
              <w:bottom w:val="single" w:sz="8" w:space="0" w:color="auto"/>
              <w:right w:val="single" w:sz="8" w:space="0" w:color="auto"/>
            </w:tcBorders>
            <w:vAlign w:val="center"/>
          </w:tcPr>
          <w:p w14:paraId="0CBA153A" w14:textId="77777777" w:rsidR="00612376" w:rsidRPr="00781719" w:rsidRDefault="00612376" w:rsidP="000929B4">
            <w:pPr>
              <w:jc w:val="right"/>
            </w:pPr>
            <w:r w:rsidRPr="00781719">
              <w:t>8</w:t>
            </w:r>
          </w:p>
        </w:tc>
        <w:tc>
          <w:tcPr>
            <w:tcW w:w="544" w:type="pct"/>
            <w:tcBorders>
              <w:top w:val="nil"/>
              <w:left w:val="nil"/>
              <w:bottom w:val="single" w:sz="8" w:space="0" w:color="auto"/>
              <w:right w:val="single" w:sz="8" w:space="0" w:color="auto"/>
            </w:tcBorders>
            <w:vAlign w:val="center"/>
          </w:tcPr>
          <w:p w14:paraId="59CD07A5" w14:textId="77777777" w:rsidR="00612376" w:rsidRPr="00781719" w:rsidRDefault="00612376" w:rsidP="000929B4">
            <w:pPr>
              <w:jc w:val="right"/>
            </w:pPr>
            <w:r w:rsidRPr="00781719">
              <w:t>11</w:t>
            </w:r>
          </w:p>
        </w:tc>
        <w:tc>
          <w:tcPr>
            <w:tcW w:w="543" w:type="pct"/>
            <w:tcBorders>
              <w:top w:val="nil"/>
              <w:left w:val="nil"/>
              <w:bottom w:val="single" w:sz="8" w:space="0" w:color="auto"/>
              <w:right w:val="single" w:sz="8" w:space="0" w:color="auto"/>
            </w:tcBorders>
            <w:vAlign w:val="center"/>
          </w:tcPr>
          <w:p w14:paraId="29AB19E9" w14:textId="77777777" w:rsidR="00612376" w:rsidRPr="00781719" w:rsidRDefault="00612376" w:rsidP="000929B4">
            <w:pPr>
              <w:jc w:val="right"/>
            </w:pPr>
            <w:r w:rsidRPr="00781719">
              <w:t>1</w:t>
            </w:r>
          </w:p>
        </w:tc>
        <w:tc>
          <w:tcPr>
            <w:tcW w:w="542" w:type="pct"/>
            <w:tcBorders>
              <w:top w:val="nil"/>
              <w:left w:val="nil"/>
              <w:bottom w:val="single" w:sz="8" w:space="0" w:color="auto"/>
              <w:right w:val="single" w:sz="8" w:space="0" w:color="auto"/>
            </w:tcBorders>
          </w:tcPr>
          <w:p w14:paraId="240DD8BC" w14:textId="77777777" w:rsidR="00612376" w:rsidRPr="00781719" w:rsidRDefault="00612376" w:rsidP="000929B4">
            <w:pPr>
              <w:jc w:val="right"/>
            </w:pPr>
            <w:r w:rsidRPr="00781719">
              <w:t>42</w:t>
            </w:r>
          </w:p>
        </w:tc>
      </w:tr>
      <w:tr w:rsidR="004B5A44" w:rsidRPr="009C6E93" w14:paraId="6536693F" w14:textId="77777777" w:rsidTr="00682B5E">
        <w:trPr>
          <w:trHeight w:val="326"/>
        </w:trPr>
        <w:tc>
          <w:tcPr>
            <w:tcW w:w="653" w:type="pct"/>
            <w:tcBorders>
              <w:top w:val="nil"/>
              <w:left w:val="single" w:sz="8" w:space="0" w:color="auto"/>
              <w:bottom w:val="single" w:sz="8" w:space="0" w:color="auto"/>
              <w:right w:val="single" w:sz="8" w:space="0" w:color="auto"/>
            </w:tcBorders>
            <w:vAlign w:val="center"/>
          </w:tcPr>
          <w:p w14:paraId="3F08B854" w14:textId="77777777" w:rsidR="00612376" w:rsidRPr="00781719" w:rsidRDefault="00612376" w:rsidP="000929B4">
            <w:r w:rsidRPr="00781719">
              <w:t>I alt</w:t>
            </w:r>
          </w:p>
        </w:tc>
        <w:tc>
          <w:tcPr>
            <w:tcW w:w="543" w:type="pct"/>
            <w:tcBorders>
              <w:top w:val="nil"/>
              <w:left w:val="nil"/>
              <w:bottom w:val="single" w:sz="8" w:space="0" w:color="auto"/>
              <w:right w:val="single" w:sz="8" w:space="0" w:color="auto"/>
            </w:tcBorders>
            <w:vAlign w:val="center"/>
          </w:tcPr>
          <w:p w14:paraId="4C9438FE" w14:textId="77777777" w:rsidR="00612376" w:rsidRPr="00781719" w:rsidRDefault="00612376" w:rsidP="000929B4">
            <w:pPr>
              <w:jc w:val="right"/>
            </w:pPr>
            <w:r w:rsidRPr="00781719">
              <w:t>4</w:t>
            </w:r>
          </w:p>
        </w:tc>
        <w:tc>
          <w:tcPr>
            <w:tcW w:w="543" w:type="pct"/>
            <w:tcBorders>
              <w:top w:val="nil"/>
              <w:left w:val="nil"/>
              <w:bottom w:val="single" w:sz="8" w:space="0" w:color="auto"/>
              <w:right w:val="single" w:sz="8" w:space="0" w:color="auto"/>
            </w:tcBorders>
            <w:vAlign w:val="center"/>
          </w:tcPr>
          <w:p w14:paraId="6D5B573D" w14:textId="77777777" w:rsidR="00612376" w:rsidRPr="00781719" w:rsidRDefault="00612376" w:rsidP="000929B4">
            <w:pPr>
              <w:jc w:val="right"/>
            </w:pPr>
            <w:r w:rsidRPr="00781719">
              <w:t>6</w:t>
            </w:r>
          </w:p>
        </w:tc>
        <w:tc>
          <w:tcPr>
            <w:tcW w:w="544" w:type="pct"/>
            <w:tcBorders>
              <w:top w:val="nil"/>
              <w:left w:val="nil"/>
              <w:bottom w:val="single" w:sz="8" w:space="0" w:color="auto"/>
              <w:right w:val="single" w:sz="8" w:space="0" w:color="auto"/>
            </w:tcBorders>
            <w:vAlign w:val="center"/>
          </w:tcPr>
          <w:p w14:paraId="642EBFBC" w14:textId="77777777" w:rsidR="00612376" w:rsidRPr="00781719" w:rsidRDefault="00612376" w:rsidP="000929B4">
            <w:pPr>
              <w:jc w:val="right"/>
            </w:pPr>
            <w:r w:rsidRPr="00781719">
              <w:t>19</w:t>
            </w:r>
          </w:p>
        </w:tc>
        <w:tc>
          <w:tcPr>
            <w:tcW w:w="544" w:type="pct"/>
            <w:tcBorders>
              <w:top w:val="nil"/>
              <w:left w:val="nil"/>
              <w:bottom w:val="single" w:sz="8" w:space="0" w:color="auto"/>
              <w:right w:val="single" w:sz="8" w:space="0" w:color="auto"/>
            </w:tcBorders>
            <w:vAlign w:val="center"/>
          </w:tcPr>
          <w:p w14:paraId="707E83CF" w14:textId="77777777" w:rsidR="00612376" w:rsidRPr="00781719" w:rsidRDefault="00612376" w:rsidP="000929B4">
            <w:pPr>
              <w:jc w:val="right"/>
            </w:pPr>
            <w:r w:rsidRPr="00781719">
              <w:t>29</w:t>
            </w:r>
          </w:p>
        </w:tc>
        <w:tc>
          <w:tcPr>
            <w:tcW w:w="544" w:type="pct"/>
            <w:tcBorders>
              <w:top w:val="nil"/>
              <w:left w:val="nil"/>
              <w:bottom w:val="single" w:sz="8" w:space="0" w:color="auto"/>
              <w:right w:val="single" w:sz="8" w:space="0" w:color="auto"/>
            </w:tcBorders>
            <w:vAlign w:val="center"/>
          </w:tcPr>
          <w:p w14:paraId="40938759" w14:textId="77777777" w:rsidR="00612376" w:rsidRPr="00781719" w:rsidRDefault="00612376" w:rsidP="000929B4">
            <w:pPr>
              <w:jc w:val="right"/>
            </w:pPr>
            <w:r w:rsidRPr="00781719">
              <w:t>14</w:t>
            </w:r>
          </w:p>
        </w:tc>
        <w:tc>
          <w:tcPr>
            <w:tcW w:w="544" w:type="pct"/>
            <w:tcBorders>
              <w:top w:val="nil"/>
              <w:left w:val="nil"/>
              <w:bottom w:val="single" w:sz="8" w:space="0" w:color="auto"/>
              <w:right w:val="single" w:sz="8" w:space="0" w:color="auto"/>
            </w:tcBorders>
            <w:vAlign w:val="center"/>
          </w:tcPr>
          <w:p w14:paraId="76BC3194" w14:textId="77777777" w:rsidR="00612376" w:rsidRPr="00781719" w:rsidRDefault="00612376" w:rsidP="000929B4">
            <w:pPr>
              <w:jc w:val="right"/>
            </w:pPr>
            <w:r w:rsidRPr="00781719">
              <w:t>13</w:t>
            </w:r>
          </w:p>
        </w:tc>
        <w:tc>
          <w:tcPr>
            <w:tcW w:w="543" w:type="pct"/>
            <w:tcBorders>
              <w:top w:val="nil"/>
              <w:left w:val="nil"/>
              <w:bottom w:val="single" w:sz="8" w:space="0" w:color="auto"/>
              <w:right w:val="single" w:sz="8" w:space="0" w:color="auto"/>
            </w:tcBorders>
            <w:vAlign w:val="center"/>
          </w:tcPr>
          <w:p w14:paraId="2CC6E936" w14:textId="77777777" w:rsidR="00612376" w:rsidRPr="00781719" w:rsidRDefault="00612376" w:rsidP="000929B4">
            <w:pPr>
              <w:jc w:val="right"/>
            </w:pPr>
            <w:r w:rsidRPr="00781719">
              <w:t>1</w:t>
            </w:r>
          </w:p>
        </w:tc>
        <w:tc>
          <w:tcPr>
            <w:tcW w:w="542" w:type="pct"/>
            <w:tcBorders>
              <w:top w:val="nil"/>
              <w:left w:val="nil"/>
              <w:bottom w:val="single" w:sz="8" w:space="0" w:color="auto"/>
              <w:right w:val="single" w:sz="8" w:space="0" w:color="auto"/>
            </w:tcBorders>
          </w:tcPr>
          <w:p w14:paraId="65ED8C90" w14:textId="77777777" w:rsidR="00612376" w:rsidRPr="00781719" w:rsidRDefault="00612376" w:rsidP="000929B4">
            <w:pPr>
              <w:jc w:val="right"/>
            </w:pPr>
            <w:r w:rsidRPr="00781719">
              <w:t>86</w:t>
            </w:r>
          </w:p>
        </w:tc>
      </w:tr>
    </w:tbl>
    <w:p w14:paraId="7370762B" w14:textId="77777777" w:rsidR="00612376" w:rsidRPr="00781719" w:rsidRDefault="00612376" w:rsidP="00612376">
      <w:r w:rsidRPr="00781719">
        <w:t>Kilde: CSC</w:t>
      </w:r>
    </w:p>
    <w:p w14:paraId="4B467627" w14:textId="77777777" w:rsidR="001F46FF" w:rsidRDefault="001F46FF"/>
    <w:sectPr w:rsidR="001F46FF" w:rsidSect="007218F5">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E192A" w14:textId="77777777" w:rsidR="0025274A" w:rsidRDefault="0025274A" w:rsidP="0000758E">
      <w:pPr>
        <w:spacing w:after="0" w:line="240" w:lineRule="auto"/>
      </w:pPr>
      <w:r>
        <w:separator/>
      </w:r>
    </w:p>
  </w:endnote>
  <w:endnote w:type="continuationSeparator" w:id="0">
    <w:p w14:paraId="455C2B9B" w14:textId="77777777" w:rsidR="0025274A" w:rsidRDefault="0025274A" w:rsidP="0000758E">
      <w:pPr>
        <w:spacing w:after="0" w:line="240" w:lineRule="auto"/>
      </w:pPr>
      <w:r>
        <w:continuationSeparator/>
      </w:r>
    </w:p>
  </w:endnote>
  <w:endnote w:type="continuationNotice" w:id="1">
    <w:p w14:paraId="66E3DA41" w14:textId="77777777" w:rsidR="0025274A" w:rsidRDefault="002527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B41D" w14:textId="77777777" w:rsidR="0041620B" w:rsidRDefault="0041620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65214" w14:textId="77777777" w:rsidR="0025274A" w:rsidRDefault="0025274A" w:rsidP="0000758E">
      <w:pPr>
        <w:spacing w:after="0" w:line="240" w:lineRule="auto"/>
      </w:pPr>
      <w:r>
        <w:separator/>
      </w:r>
    </w:p>
  </w:footnote>
  <w:footnote w:type="continuationSeparator" w:id="0">
    <w:p w14:paraId="658CC37F" w14:textId="77777777" w:rsidR="0025274A" w:rsidRDefault="0025274A" w:rsidP="0000758E">
      <w:pPr>
        <w:spacing w:after="0" w:line="240" w:lineRule="auto"/>
      </w:pPr>
      <w:r>
        <w:continuationSeparator/>
      </w:r>
    </w:p>
  </w:footnote>
  <w:footnote w:type="continuationNotice" w:id="1">
    <w:p w14:paraId="593E173C" w14:textId="77777777" w:rsidR="0025274A" w:rsidRDefault="0025274A">
      <w:pPr>
        <w:spacing w:after="0" w:line="240" w:lineRule="auto"/>
      </w:pPr>
    </w:p>
  </w:footnote>
  <w:footnote w:id="2">
    <w:p w14:paraId="6DEBD9BB" w14:textId="77777777" w:rsidR="00AE0BDE" w:rsidRDefault="00AE0BDE" w:rsidP="00AE0BDE">
      <w:r>
        <w:rPr>
          <w:rStyle w:val="Fodnotehenvisning"/>
        </w:rPr>
        <w:footnoteRef/>
      </w:r>
      <w:r>
        <w:t xml:space="preserve"> Dimensioneringsudvalget: Inge Marie Møller, postgraduat klinisk lektor for Nord; Dorthe Kolster, postgraduat klinisk lektor for syd; Jette Led Sørensen, postgraduat klinisk lektor for øst, Helle Ejdrup Bredkjær, ledende overlæge Herlev Hospital, Maria Cathrine Schmidt, repræsentant for Foreningen af Yngre Gynækologer og obstetrikere, Jeannet Lauenborg, formand for DSOG undervisningsudvalg.</w:t>
      </w:r>
    </w:p>
    <w:p w14:paraId="0C0CC436" w14:textId="77777777" w:rsidR="00AE0BDE" w:rsidRDefault="00AE0BDE" w:rsidP="00AE0BDE">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BFA4" w14:textId="77777777" w:rsidR="0041620B" w:rsidRDefault="0041620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B6B"/>
    <w:multiLevelType w:val="hybridMultilevel"/>
    <w:tmpl w:val="3834A3A0"/>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A771860"/>
    <w:multiLevelType w:val="hybridMultilevel"/>
    <w:tmpl w:val="BBF8C2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7C4289"/>
    <w:multiLevelType w:val="hybridMultilevel"/>
    <w:tmpl w:val="C8969D3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60164A2"/>
    <w:multiLevelType w:val="hybridMultilevel"/>
    <w:tmpl w:val="D5441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342F37"/>
    <w:multiLevelType w:val="hybridMultilevel"/>
    <w:tmpl w:val="315C12B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AE0197F"/>
    <w:multiLevelType w:val="hybridMultilevel"/>
    <w:tmpl w:val="AD307D90"/>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6" w15:restartNumberingAfterBreak="0">
    <w:nsid w:val="4BE14E78"/>
    <w:multiLevelType w:val="hybridMultilevel"/>
    <w:tmpl w:val="10AA89E6"/>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64A6050E"/>
    <w:multiLevelType w:val="hybridMultilevel"/>
    <w:tmpl w:val="255810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FF"/>
    <w:rsid w:val="0000758E"/>
    <w:rsid w:val="0001175F"/>
    <w:rsid w:val="000176C6"/>
    <w:rsid w:val="00043711"/>
    <w:rsid w:val="000929B4"/>
    <w:rsid w:val="000D015B"/>
    <w:rsid w:val="000E66A2"/>
    <w:rsid w:val="00105AE1"/>
    <w:rsid w:val="001348A0"/>
    <w:rsid w:val="00151A4A"/>
    <w:rsid w:val="00153441"/>
    <w:rsid w:val="00157A32"/>
    <w:rsid w:val="00164EB6"/>
    <w:rsid w:val="001665A1"/>
    <w:rsid w:val="001750C5"/>
    <w:rsid w:val="00177B11"/>
    <w:rsid w:val="00181AFD"/>
    <w:rsid w:val="00187FBF"/>
    <w:rsid w:val="001B54FB"/>
    <w:rsid w:val="001E4015"/>
    <w:rsid w:val="001E6826"/>
    <w:rsid w:val="001F0084"/>
    <w:rsid w:val="001F199F"/>
    <w:rsid w:val="001F46FF"/>
    <w:rsid w:val="00203DCC"/>
    <w:rsid w:val="0020417B"/>
    <w:rsid w:val="00217545"/>
    <w:rsid w:val="00237A75"/>
    <w:rsid w:val="002525C6"/>
    <w:rsid w:val="0025274A"/>
    <w:rsid w:val="00275F22"/>
    <w:rsid w:val="002910A5"/>
    <w:rsid w:val="002D0CDE"/>
    <w:rsid w:val="002D54FB"/>
    <w:rsid w:val="002D6EA9"/>
    <w:rsid w:val="002F2D3B"/>
    <w:rsid w:val="00301F2F"/>
    <w:rsid w:val="00307F2B"/>
    <w:rsid w:val="00353BB3"/>
    <w:rsid w:val="00367715"/>
    <w:rsid w:val="00374CCF"/>
    <w:rsid w:val="0037621D"/>
    <w:rsid w:val="003A20DA"/>
    <w:rsid w:val="003B6964"/>
    <w:rsid w:val="003C5FF6"/>
    <w:rsid w:val="003D3CB1"/>
    <w:rsid w:val="003D450C"/>
    <w:rsid w:val="003E4A59"/>
    <w:rsid w:val="00401251"/>
    <w:rsid w:val="0041620B"/>
    <w:rsid w:val="00423492"/>
    <w:rsid w:val="004365F2"/>
    <w:rsid w:val="0047267F"/>
    <w:rsid w:val="00486A64"/>
    <w:rsid w:val="00490F7F"/>
    <w:rsid w:val="004B5A44"/>
    <w:rsid w:val="004C6210"/>
    <w:rsid w:val="004F314B"/>
    <w:rsid w:val="00503480"/>
    <w:rsid w:val="005110B2"/>
    <w:rsid w:val="00511DFF"/>
    <w:rsid w:val="005122E8"/>
    <w:rsid w:val="00517A19"/>
    <w:rsid w:val="0052184B"/>
    <w:rsid w:val="00536997"/>
    <w:rsid w:val="00540375"/>
    <w:rsid w:val="005446CE"/>
    <w:rsid w:val="00573A93"/>
    <w:rsid w:val="00584230"/>
    <w:rsid w:val="00590820"/>
    <w:rsid w:val="005A1FEB"/>
    <w:rsid w:val="005A2DED"/>
    <w:rsid w:val="005C23FA"/>
    <w:rsid w:val="005C388B"/>
    <w:rsid w:val="005D09AE"/>
    <w:rsid w:val="005D57B6"/>
    <w:rsid w:val="006011E8"/>
    <w:rsid w:val="006041D9"/>
    <w:rsid w:val="00606025"/>
    <w:rsid w:val="006079C7"/>
    <w:rsid w:val="00611990"/>
    <w:rsid w:val="00612376"/>
    <w:rsid w:val="0061387C"/>
    <w:rsid w:val="006173AE"/>
    <w:rsid w:val="00617613"/>
    <w:rsid w:val="00620854"/>
    <w:rsid w:val="00626626"/>
    <w:rsid w:val="00636E6A"/>
    <w:rsid w:val="00650F87"/>
    <w:rsid w:val="00654E44"/>
    <w:rsid w:val="006562A8"/>
    <w:rsid w:val="006601CE"/>
    <w:rsid w:val="00682B5E"/>
    <w:rsid w:val="00684FA7"/>
    <w:rsid w:val="006932B5"/>
    <w:rsid w:val="006B5605"/>
    <w:rsid w:val="006C23BC"/>
    <w:rsid w:val="006D69FB"/>
    <w:rsid w:val="006E0E7C"/>
    <w:rsid w:val="006F14F1"/>
    <w:rsid w:val="006F68DA"/>
    <w:rsid w:val="00714728"/>
    <w:rsid w:val="007218F5"/>
    <w:rsid w:val="00724142"/>
    <w:rsid w:val="0072454A"/>
    <w:rsid w:val="00737A7B"/>
    <w:rsid w:val="00756637"/>
    <w:rsid w:val="00770505"/>
    <w:rsid w:val="00786A60"/>
    <w:rsid w:val="007D1F94"/>
    <w:rsid w:val="007D3AE8"/>
    <w:rsid w:val="007F0AE3"/>
    <w:rsid w:val="00816BA3"/>
    <w:rsid w:val="008229F3"/>
    <w:rsid w:val="008261C7"/>
    <w:rsid w:val="008349DA"/>
    <w:rsid w:val="00880EC1"/>
    <w:rsid w:val="00895DC9"/>
    <w:rsid w:val="008B6A0B"/>
    <w:rsid w:val="008C1377"/>
    <w:rsid w:val="008C4F9B"/>
    <w:rsid w:val="008D51AC"/>
    <w:rsid w:val="008F32A0"/>
    <w:rsid w:val="00920EB1"/>
    <w:rsid w:val="009466E8"/>
    <w:rsid w:val="009555A9"/>
    <w:rsid w:val="0096437C"/>
    <w:rsid w:val="00966914"/>
    <w:rsid w:val="009708A4"/>
    <w:rsid w:val="009714DD"/>
    <w:rsid w:val="009A02DF"/>
    <w:rsid w:val="009C36D5"/>
    <w:rsid w:val="009D3270"/>
    <w:rsid w:val="00A25891"/>
    <w:rsid w:val="00A271F2"/>
    <w:rsid w:val="00A30533"/>
    <w:rsid w:val="00A3086A"/>
    <w:rsid w:val="00A4277E"/>
    <w:rsid w:val="00A556C1"/>
    <w:rsid w:val="00A663F7"/>
    <w:rsid w:val="00A74133"/>
    <w:rsid w:val="00A7769B"/>
    <w:rsid w:val="00A87562"/>
    <w:rsid w:val="00A95F71"/>
    <w:rsid w:val="00AA4BC6"/>
    <w:rsid w:val="00AB52B3"/>
    <w:rsid w:val="00AB5B7C"/>
    <w:rsid w:val="00AD161A"/>
    <w:rsid w:val="00AE0BDE"/>
    <w:rsid w:val="00AE355F"/>
    <w:rsid w:val="00B01E38"/>
    <w:rsid w:val="00B02E91"/>
    <w:rsid w:val="00B0726C"/>
    <w:rsid w:val="00B14C30"/>
    <w:rsid w:val="00B24A7E"/>
    <w:rsid w:val="00B3644F"/>
    <w:rsid w:val="00B549F2"/>
    <w:rsid w:val="00B572D5"/>
    <w:rsid w:val="00B83D05"/>
    <w:rsid w:val="00BA088D"/>
    <w:rsid w:val="00BA2842"/>
    <w:rsid w:val="00BB221B"/>
    <w:rsid w:val="00BB7745"/>
    <w:rsid w:val="00BB7E41"/>
    <w:rsid w:val="00BC36B1"/>
    <w:rsid w:val="00BD1800"/>
    <w:rsid w:val="00BD7313"/>
    <w:rsid w:val="00BF4711"/>
    <w:rsid w:val="00C01353"/>
    <w:rsid w:val="00C0580F"/>
    <w:rsid w:val="00C07922"/>
    <w:rsid w:val="00C1462A"/>
    <w:rsid w:val="00C20E48"/>
    <w:rsid w:val="00C26884"/>
    <w:rsid w:val="00C34664"/>
    <w:rsid w:val="00C54D9C"/>
    <w:rsid w:val="00C71363"/>
    <w:rsid w:val="00C8118E"/>
    <w:rsid w:val="00C8160A"/>
    <w:rsid w:val="00C92766"/>
    <w:rsid w:val="00CA0442"/>
    <w:rsid w:val="00CA332D"/>
    <w:rsid w:val="00CB61DF"/>
    <w:rsid w:val="00CF5DCB"/>
    <w:rsid w:val="00D00461"/>
    <w:rsid w:val="00D11F58"/>
    <w:rsid w:val="00D12CD2"/>
    <w:rsid w:val="00D22612"/>
    <w:rsid w:val="00D315B0"/>
    <w:rsid w:val="00D326E9"/>
    <w:rsid w:val="00D43448"/>
    <w:rsid w:val="00D473CE"/>
    <w:rsid w:val="00D5190A"/>
    <w:rsid w:val="00D54BCB"/>
    <w:rsid w:val="00D64CA6"/>
    <w:rsid w:val="00D65045"/>
    <w:rsid w:val="00D74AA0"/>
    <w:rsid w:val="00D75097"/>
    <w:rsid w:val="00D84D96"/>
    <w:rsid w:val="00DC3969"/>
    <w:rsid w:val="00DD2A33"/>
    <w:rsid w:val="00DE4DE6"/>
    <w:rsid w:val="00E013CA"/>
    <w:rsid w:val="00E024C1"/>
    <w:rsid w:val="00E0297B"/>
    <w:rsid w:val="00E161ED"/>
    <w:rsid w:val="00E34779"/>
    <w:rsid w:val="00E35486"/>
    <w:rsid w:val="00E3709B"/>
    <w:rsid w:val="00E50C5C"/>
    <w:rsid w:val="00E70FB6"/>
    <w:rsid w:val="00E76266"/>
    <w:rsid w:val="00E84BC3"/>
    <w:rsid w:val="00E9302A"/>
    <w:rsid w:val="00EA236F"/>
    <w:rsid w:val="00ED2E42"/>
    <w:rsid w:val="00ED432B"/>
    <w:rsid w:val="00EE2941"/>
    <w:rsid w:val="00EE71C4"/>
    <w:rsid w:val="00F32DBB"/>
    <w:rsid w:val="00F50DAB"/>
    <w:rsid w:val="00F54267"/>
    <w:rsid w:val="00F867C5"/>
    <w:rsid w:val="00F92AB1"/>
    <w:rsid w:val="00FB0EE7"/>
    <w:rsid w:val="00FB565D"/>
    <w:rsid w:val="00FB7E1E"/>
    <w:rsid w:val="00FC49B9"/>
    <w:rsid w:val="00FC546E"/>
    <w:rsid w:val="00FD0D01"/>
    <w:rsid w:val="00FD3D76"/>
    <w:rsid w:val="00FD69F3"/>
    <w:rsid w:val="00FE0B54"/>
    <w:rsid w:val="00FE0F28"/>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E09B"/>
  <w15:docId w15:val="{DB8F4AF3-45F7-40E3-B7A2-E04A78C2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5A44"/>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F46FF"/>
    <w:pPr>
      <w:ind w:left="720"/>
      <w:contextualSpacing/>
    </w:pPr>
  </w:style>
  <w:style w:type="character" w:styleId="Kommentarhenvisning">
    <w:name w:val="annotation reference"/>
    <w:basedOn w:val="Standardskrifttypeiafsnit"/>
    <w:uiPriority w:val="99"/>
    <w:semiHidden/>
    <w:unhideWhenUsed/>
    <w:rsid w:val="001E4015"/>
    <w:rPr>
      <w:sz w:val="16"/>
      <w:szCs w:val="16"/>
    </w:rPr>
  </w:style>
  <w:style w:type="paragraph" w:styleId="Kommentartekst">
    <w:name w:val="annotation text"/>
    <w:basedOn w:val="Normal"/>
    <w:link w:val="KommentartekstTegn"/>
    <w:uiPriority w:val="99"/>
    <w:semiHidden/>
    <w:unhideWhenUsed/>
    <w:rsid w:val="001E401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E4015"/>
    <w:rPr>
      <w:sz w:val="20"/>
      <w:szCs w:val="20"/>
    </w:rPr>
  </w:style>
  <w:style w:type="paragraph" w:styleId="Kommentaremne">
    <w:name w:val="annotation subject"/>
    <w:basedOn w:val="Kommentartekst"/>
    <w:next w:val="Kommentartekst"/>
    <w:link w:val="KommentaremneTegn"/>
    <w:uiPriority w:val="99"/>
    <w:semiHidden/>
    <w:unhideWhenUsed/>
    <w:rsid w:val="001E4015"/>
    <w:rPr>
      <w:b/>
      <w:bCs/>
    </w:rPr>
  </w:style>
  <w:style w:type="character" w:customStyle="1" w:styleId="KommentaremneTegn">
    <w:name w:val="Kommentaremne Tegn"/>
    <w:basedOn w:val="KommentartekstTegn"/>
    <w:link w:val="Kommentaremne"/>
    <w:uiPriority w:val="99"/>
    <w:semiHidden/>
    <w:rsid w:val="001E4015"/>
    <w:rPr>
      <w:b/>
      <w:bCs/>
      <w:sz w:val="20"/>
      <w:szCs w:val="20"/>
    </w:rPr>
  </w:style>
  <w:style w:type="paragraph" w:styleId="Korrektur">
    <w:name w:val="Revision"/>
    <w:hidden/>
    <w:uiPriority w:val="99"/>
    <w:semiHidden/>
    <w:rsid w:val="004B5A44"/>
    <w:pPr>
      <w:spacing w:after="0" w:line="240" w:lineRule="auto"/>
    </w:pPr>
  </w:style>
  <w:style w:type="paragraph" w:styleId="Markeringsbobletekst">
    <w:name w:val="Balloon Text"/>
    <w:basedOn w:val="Normal"/>
    <w:link w:val="MarkeringsbobletekstTegn"/>
    <w:uiPriority w:val="99"/>
    <w:semiHidden/>
    <w:unhideWhenUsed/>
    <w:rsid w:val="001E401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4015"/>
    <w:rPr>
      <w:rFonts w:ascii="Segoe UI" w:hAnsi="Segoe UI" w:cs="Segoe UI"/>
      <w:sz w:val="18"/>
      <w:szCs w:val="18"/>
    </w:rPr>
  </w:style>
  <w:style w:type="paragraph" w:styleId="Billedtekst">
    <w:name w:val="caption"/>
    <w:basedOn w:val="Normal"/>
    <w:next w:val="Normal"/>
    <w:uiPriority w:val="35"/>
    <w:unhideWhenUsed/>
    <w:qFormat/>
    <w:rsid w:val="004B5A44"/>
    <w:pPr>
      <w:spacing w:after="200" w:line="240" w:lineRule="auto"/>
    </w:pPr>
    <w:rPr>
      <w:i/>
      <w:iCs/>
      <w:color w:val="44546A" w:themeColor="text2"/>
      <w:sz w:val="18"/>
      <w:szCs w:val="18"/>
    </w:rPr>
  </w:style>
  <w:style w:type="paragraph" w:styleId="Slutnotetekst">
    <w:name w:val="endnote text"/>
    <w:basedOn w:val="Normal"/>
    <w:link w:val="SlutnotetekstTegn"/>
    <w:uiPriority w:val="99"/>
    <w:semiHidden/>
    <w:unhideWhenUsed/>
    <w:rsid w:val="0000758E"/>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00758E"/>
    <w:rPr>
      <w:sz w:val="20"/>
      <w:szCs w:val="20"/>
    </w:rPr>
  </w:style>
  <w:style w:type="character" w:styleId="Slutnotehenvisning">
    <w:name w:val="endnote reference"/>
    <w:basedOn w:val="Standardskrifttypeiafsnit"/>
    <w:uiPriority w:val="99"/>
    <w:semiHidden/>
    <w:unhideWhenUsed/>
    <w:rsid w:val="0000758E"/>
    <w:rPr>
      <w:vertAlign w:val="superscript"/>
    </w:rPr>
  </w:style>
  <w:style w:type="paragraph" w:styleId="Fodnotetekst">
    <w:name w:val="footnote text"/>
    <w:basedOn w:val="Normal"/>
    <w:link w:val="FodnotetekstTegn"/>
    <w:uiPriority w:val="99"/>
    <w:semiHidden/>
    <w:unhideWhenUsed/>
    <w:rsid w:val="008349D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349DA"/>
    <w:rPr>
      <w:sz w:val="20"/>
      <w:szCs w:val="20"/>
    </w:rPr>
  </w:style>
  <w:style w:type="character" w:styleId="Fodnotehenvisning">
    <w:name w:val="footnote reference"/>
    <w:basedOn w:val="Standardskrifttypeiafsnit"/>
    <w:uiPriority w:val="99"/>
    <w:semiHidden/>
    <w:unhideWhenUsed/>
    <w:rsid w:val="008349DA"/>
    <w:rPr>
      <w:vertAlign w:val="superscript"/>
    </w:rPr>
  </w:style>
  <w:style w:type="paragraph" w:styleId="Sidehoved">
    <w:name w:val="header"/>
    <w:basedOn w:val="Normal"/>
    <w:link w:val="SidehovedTegn"/>
    <w:uiPriority w:val="99"/>
    <w:unhideWhenUsed/>
    <w:rsid w:val="00D473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73CE"/>
  </w:style>
  <w:style w:type="paragraph" w:styleId="Sidefod">
    <w:name w:val="footer"/>
    <w:basedOn w:val="Normal"/>
    <w:link w:val="SidefodTegn"/>
    <w:uiPriority w:val="99"/>
    <w:unhideWhenUsed/>
    <w:rsid w:val="00D473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73CE"/>
  </w:style>
  <w:style w:type="paragraph" w:customStyle="1" w:styleId="Default">
    <w:name w:val="Default"/>
    <w:rsid w:val="00AE0B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cid:image001.jpg@01D20558.8F7312F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eannet\Dropbox\Public\Dimensionering\DSOG%20prognose%202016-1%20kop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eannet\Dropbox\Public\Dimensionering\DSOG%20prognose%202016-1%20kop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eannet\Dropbox\Public\Dimensionering\DSOG%20prognose%202016-1%20kop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eannet\Dropbox\Public\Dimensionering\DSOG%20prognose%202016-1%20ko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Aldersfordeling!$J$45</c:f>
              <c:strCache>
                <c:ptCount val="1"/>
                <c:pt idx="0">
                  <c:v>mænd</c:v>
                </c:pt>
              </c:strCache>
            </c:strRef>
          </c:tx>
          <c:spPr>
            <a:solidFill>
              <a:schemeClr val="accent1">
                <a:lumMod val="75000"/>
              </a:schemeClr>
            </a:solidFill>
            <a:ln>
              <a:noFill/>
            </a:ln>
            <a:effectLst/>
          </c:spPr>
          <c:invertIfNegative val="0"/>
          <c:val>
            <c:numRef>
              <c:f>Aldersfordeling!$K$45:$N$45</c:f>
              <c:numCache>
                <c:formatCode>General</c:formatCode>
                <c:ptCount val="4"/>
                <c:pt idx="0">
                  <c:v>4</c:v>
                </c:pt>
                <c:pt idx="1">
                  <c:v>26.3</c:v>
                </c:pt>
                <c:pt idx="2">
                  <c:v>35.799999999999997</c:v>
                </c:pt>
                <c:pt idx="3">
                  <c:v>60</c:v>
                </c:pt>
              </c:numCache>
            </c:numRef>
          </c:val>
          <c:extLst>
            <c:ext xmlns:c16="http://schemas.microsoft.com/office/drawing/2014/chart" uri="{C3380CC4-5D6E-409C-BE32-E72D297353CC}">
              <c16:uniqueId val="{00000000-5261-4768-9112-493A13FAACCA}"/>
            </c:ext>
          </c:extLst>
        </c:ser>
        <c:ser>
          <c:idx val="1"/>
          <c:order val="1"/>
          <c:tx>
            <c:strRef>
              <c:f>Aldersfordeling!$J$46</c:f>
              <c:strCache>
                <c:ptCount val="1"/>
                <c:pt idx="0">
                  <c:v>kvinder</c:v>
                </c:pt>
              </c:strCache>
            </c:strRef>
          </c:tx>
          <c:spPr>
            <a:solidFill>
              <a:srgbClr val="00B0F0"/>
            </a:solidFill>
            <a:ln>
              <a:noFill/>
            </a:ln>
            <a:effectLst/>
          </c:spPr>
          <c:invertIfNegative val="0"/>
          <c:val>
            <c:numRef>
              <c:f>Aldersfordeling!$K$46:$N$46</c:f>
              <c:numCache>
                <c:formatCode>General</c:formatCode>
                <c:ptCount val="4"/>
                <c:pt idx="0">
                  <c:v>19</c:v>
                </c:pt>
                <c:pt idx="1">
                  <c:v>121</c:v>
                </c:pt>
                <c:pt idx="2">
                  <c:v>100</c:v>
                </c:pt>
                <c:pt idx="3">
                  <c:v>46.5</c:v>
                </c:pt>
              </c:numCache>
            </c:numRef>
          </c:val>
          <c:extLst>
            <c:ext xmlns:c16="http://schemas.microsoft.com/office/drawing/2014/chart" uri="{C3380CC4-5D6E-409C-BE32-E72D297353CC}">
              <c16:uniqueId val="{00000001-5261-4768-9112-493A13FAACCA}"/>
            </c:ext>
          </c:extLst>
        </c:ser>
        <c:dLbls>
          <c:showLegendKey val="0"/>
          <c:showVal val="0"/>
          <c:showCatName val="0"/>
          <c:showSerName val="0"/>
          <c:showPercent val="0"/>
          <c:showBubbleSize val="0"/>
        </c:dLbls>
        <c:gapWidth val="219"/>
        <c:overlap val="-27"/>
        <c:axId val="224448512"/>
        <c:axId val="224450432"/>
      </c:barChart>
      <c:catAx>
        <c:axId val="2244485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24450432"/>
        <c:crosses val="autoZero"/>
        <c:auto val="0"/>
        <c:lblAlgn val="ctr"/>
        <c:lblOffset val="100"/>
        <c:noMultiLvlLbl val="0"/>
      </c:catAx>
      <c:valAx>
        <c:axId val="22445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2444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Aldersfordeling!$J$43</c:f>
              <c:strCache>
                <c:ptCount val="1"/>
                <c:pt idx="0">
                  <c:v>mænd</c:v>
                </c:pt>
              </c:strCache>
            </c:strRef>
          </c:tx>
          <c:spPr>
            <a:solidFill>
              <a:schemeClr val="accent5">
                <a:lumMod val="75000"/>
              </a:schemeClr>
            </a:solidFill>
            <a:ln>
              <a:noFill/>
            </a:ln>
            <a:effectLst/>
          </c:spPr>
          <c:invertIfNegative val="0"/>
          <c:val>
            <c:numRef>
              <c:f>Aldersfordeling!$K$43:$N$43</c:f>
              <c:numCache>
                <c:formatCode>General</c:formatCode>
                <c:ptCount val="4"/>
                <c:pt idx="0">
                  <c:v>3.1720856463124503</c:v>
                </c:pt>
                <c:pt idx="1">
                  <c:v>20.856463124504362</c:v>
                </c:pt>
                <c:pt idx="2">
                  <c:v>28.39016653449643</c:v>
                </c:pt>
                <c:pt idx="3">
                  <c:v>47.581284694686758</c:v>
                </c:pt>
              </c:numCache>
            </c:numRef>
          </c:val>
          <c:extLst>
            <c:ext xmlns:c16="http://schemas.microsoft.com/office/drawing/2014/chart" uri="{C3380CC4-5D6E-409C-BE32-E72D297353CC}">
              <c16:uniqueId val="{00000000-4CEF-4F40-816F-115525B68756}"/>
            </c:ext>
          </c:extLst>
        </c:ser>
        <c:ser>
          <c:idx val="1"/>
          <c:order val="1"/>
          <c:tx>
            <c:strRef>
              <c:f>Aldersfordeling!$J$44</c:f>
              <c:strCache>
                <c:ptCount val="1"/>
                <c:pt idx="0">
                  <c:v>kvinder</c:v>
                </c:pt>
              </c:strCache>
            </c:strRef>
          </c:tx>
          <c:spPr>
            <a:solidFill>
              <a:srgbClr val="00B0F0"/>
            </a:solidFill>
            <a:ln>
              <a:noFill/>
            </a:ln>
            <a:effectLst/>
          </c:spPr>
          <c:invertIfNegative val="0"/>
          <c:val>
            <c:numRef>
              <c:f>Aldersfordeling!$K$44:$N$44</c:f>
              <c:numCache>
                <c:formatCode>General</c:formatCode>
                <c:ptCount val="4"/>
                <c:pt idx="0">
                  <c:v>6.6317626527050617</c:v>
                </c:pt>
                <c:pt idx="1">
                  <c:v>42.233856893542757</c:v>
                </c:pt>
                <c:pt idx="2">
                  <c:v>34.904013961605585</c:v>
                </c:pt>
                <c:pt idx="3">
                  <c:v>16.230366492146597</c:v>
                </c:pt>
              </c:numCache>
            </c:numRef>
          </c:val>
          <c:extLst>
            <c:ext xmlns:c16="http://schemas.microsoft.com/office/drawing/2014/chart" uri="{C3380CC4-5D6E-409C-BE32-E72D297353CC}">
              <c16:uniqueId val="{00000001-4CEF-4F40-816F-115525B68756}"/>
            </c:ext>
          </c:extLst>
        </c:ser>
        <c:dLbls>
          <c:showLegendKey val="0"/>
          <c:showVal val="0"/>
          <c:showCatName val="0"/>
          <c:showSerName val="0"/>
          <c:showPercent val="0"/>
          <c:showBubbleSize val="0"/>
        </c:dLbls>
        <c:gapWidth val="219"/>
        <c:overlap val="-27"/>
        <c:axId val="228988800"/>
        <c:axId val="229016320"/>
      </c:barChart>
      <c:catAx>
        <c:axId val="2289888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29016320"/>
        <c:crosses val="autoZero"/>
        <c:auto val="1"/>
        <c:lblAlgn val="ctr"/>
        <c:lblOffset val="100"/>
        <c:noMultiLvlLbl val="0"/>
      </c:catAx>
      <c:valAx>
        <c:axId val="229016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2898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Aldersfordeling!$N$50</c:f>
              <c:strCache>
                <c:ptCount val="1"/>
                <c:pt idx="0">
                  <c:v>Region Nord</c:v>
                </c:pt>
              </c:strCache>
            </c:strRef>
          </c:tx>
          <c:spPr>
            <a:solidFill>
              <a:srgbClr val="0070C0"/>
            </a:solidFill>
            <a:ln>
              <a:noFill/>
            </a:ln>
            <a:effectLst/>
          </c:spPr>
          <c:invertIfNegative val="0"/>
          <c:val>
            <c:numRef>
              <c:f>Aldersfordeling!$O$50:$R$50</c:f>
              <c:numCache>
                <c:formatCode>General</c:formatCode>
                <c:ptCount val="4"/>
                <c:pt idx="0">
                  <c:v>11</c:v>
                </c:pt>
                <c:pt idx="1">
                  <c:v>45</c:v>
                </c:pt>
                <c:pt idx="2">
                  <c:v>45.5</c:v>
                </c:pt>
                <c:pt idx="3">
                  <c:v>34.5</c:v>
                </c:pt>
              </c:numCache>
            </c:numRef>
          </c:val>
          <c:extLst>
            <c:ext xmlns:c16="http://schemas.microsoft.com/office/drawing/2014/chart" uri="{C3380CC4-5D6E-409C-BE32-E72D297353CC}">
              <c16:uniqueId val="{00000000-3BDE-4F1D-8530-25C325E7CEB5}"/>
            </c:ext>
          </c:extLst>
        </c:ser>
        <c:ser>
          <c:idx val="1"/>
          <c:order val="1"/>
          <c:tx>
            <c:strRef>
              <c:f>Aldersfordeling!$N$51</c:f>
              <c:strCache>
                <c:ptCount val="1"/>
                <c:pt idx="0">
                  <c:v>Region Syd</c:v>
                </c:pt>
              </c:strCache>
            </c:strRef>
          </c:tx>
          <c:spPr>
            <a:solidFill>
              <a:srgbClr val="00B0F0"/>
            </a:solidFill>
            <a:ln>
              <a:noFill/>
            </a:ln>
            <a:effectLst/>
          </c:spPr>
          <c:invertIfNegative val="0"/>
          <c:val>
            <c:numRef>
              <c:f>Aldersfordeling!$O$51:$R$51</c:f>
              <c:numCache>
                <c:formatCode>General</c:formatCode>
                <c:ptCount val="4"/>
                <c:pt idx="0">
                  <c:v>8</c:v>
                </c:pt>
                <c:pt idx="1">
                  <c:v>34</c:v>
                </c:pt>
                <c:pt idx="2">
                  <c:v>28</c:v>
                </c:pt>
                <c:pt idx="3">
                  <c:v>18</c:v>
                </c:pt>
              </c:numCache>
            </c:numRef>
          </c:val>
          <c:extLst>
            <c:ext xmlns:c16="http://schemas.microsoft.com/office/drawing/2014/chart" uri="{C3380CC4-5D6E-409C-BE32-E72D297353CC}">
              <c16:uniqueId val="{00000001-3BDE-4F1D-8530-25C325E7CEB5}"/>
            </c:ext>
          </c:extLst>
        </c:ser>
        <c:ser>
          <c:idx val="2"/>
          <c:order val="2"/>
          <c:tx>
            <c:strRef>
              <c:f>Aldersfordeling!$N$52</c:f>
              <c:strCache>
                <c:ptCount val="1"/>
                <c:pt idx="0">
                  <c:v>Region Øst</c:v>
                </c:pt>
              </c:strCache>
            </c:strRef>
          </c:tx>
          <c:spPr>
            <a:solidFill>
              <a:srgbClr val="7030A0"/>
            </a:solidFill>
            <a:ln>
              <a:noFill/>
            </a:ln>
            <a:effectLst/>
          </c:spPr>
          <c:invertIfNegative val="0"/>
          <c:val>
            <c:numRef>
              <c:f>Aldersfordeling!$O$52:$R$52</c:f>
              <c:numCache>
                <c:formatCode>General</c:formatCode>
                <c:ptCount val="4"/>
                <c:pt idx="0">
                  <c:v>4</c:v>
                </c:pt>
                <c:pt idx="1">
                  <c:v>68.3</c:v>
                </c:pt>
                <c:pt idx="2">
                  <c:v>62.3</c:v>
                </c:pt>
                <c:pt idx="3">
                  <c:v>54</c:v>
                </c:pt>
              </c:numCache>
            </c:numRef>
          </c:val>
          <c:extLst>
            <c:ext xmlns:c16="http://schemas.microsoft.com/office/drawing/2014/chart" uri="{C3380CC4-5D6E-409C-BE32-E72D297353CC}">
              <c16:uniqueId val="{00000002-3BDE-4F1D-8530-25C325E7CEB5}"/>
            </c:ext>
          </c:extLst>
        </c:ser>
        <c:dLbls>
          <c:showLegendKey val="0"/>
          <c:showVal val="0"/>
          <c:showCatName val="0"/>
          <c:showSerName val="0"/>
          <c:showPercent val="0"/>
          <c:showBubbleSize val="0"/>
        </c:dLbls>
        <c:gapWidth val="219"/>
        <c:overlap val="-27"/>
        <c:axId val="229593088"/>
        <c:axId val="229598720"/>
      </c:barChart>
      <c:catAx>
        <c:axId val="2295930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29598720"/>
        <c:crosses val="autoZero"/>
        <c:auto val="1"/>
        <c:lblAlgn val="ctr"/>
        <c:lblOffset val="100"/>
        <c:noMultiLvlLbl val="0"/>
      </c:catAx>
      <c:valAx>
        <c:axId val="22959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2959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Aldersfordeling!$N$55</c:f>
              <c:strCache>
                <c:ptCount val="1"/>
                <c:pt idx="0">
                  <c:v>Region Nord</c:v>
                </c:pt>
              </c:strCache>
            </c:strRef>
          </c:tx>
          <c:spPr>
            <a:solidFill>
              <a:schemeClr val="accent1">
                <a:lumMod val="75000"/>
              </a:schemeClr>
            </a:solidFill>
            <a:ln>
              <a:noFill/>
            </a:ln>
            <a:effectLst/>
          </c:spPr>
          <c:invertIfNegative val="0"/>
          <c:val>
            <c:numRef>
              <c:f>Aldersfordeling!$O$55:$R$55</c:f>
              <c:numCache>
                <c:formatCode>General</c:formatCode>
                <c:ptCount val="4"/>
                <c:pt idx="0">
                  <c:v>8.0882352941176467</c:v>
                </c:pt>
                <c:pt idx="1">
                  <c:v>33.088235294117645</c:v>
                </c:pt>
                <c:pt idx="2">
                  <c:v>33.455882352941174</c:v>
                </c:pt>
                <c:pt idx="3">
                  <c:v>25.367647058823529</c:v>
                </c:pt>
              </c:numCache>
            </c:numRef>
          </c:val>
          <c:extLst>
            <c:ext xmlns:c16="http://schemas.microsoft.com/office/drawing/2014/chart" uri="{C3380CC4-5D6E-409C-BE32-E72D297353CC}">
              <c16:uniqueId val="{00000000-AA76-4B65-9AC1-4CD57774DAB3}"/>
            </c:ext>
          </c:extLst>
        </c:ser>
        <c:ser>
          <c:idx val="1"/>
          <c:order val="1"/>
          <c:tx>
            <c:strRef>
              <c:f>Aldersfordeling!$N$56</c:f>
              <c:strCache>
                <c:ptCount val="1"/>
                <c:pt idx="0">
                  <c:v>Region Syd</c:v>
                </c:pt>
              </c:strCache>
            </c:strRef>
          </c:tx>
          <c:spPr>
            <a:solidFill>
              <a:srgbClr val="00B0F0"/>
            </a:solidFill>
            <a:ln>
              <a:noFill/>
            </a:ln>
            <a:effectLst/>
          </c:spPr>
          <c:invertIfNegative val="0"/>
          <c:val>
            <c:numRef>
              <c:f>Aldersfordeling!$O$56:$R$56</c:f>
              <c:numCache>
                <c:formatCode>General</c:formatCode>
                <c:ptCount val="4"/>
                <c:pt idx="0">
                  <c:v>9.0909090909090917</c:v>
                </c:pt>
                <c:pt idx="1">
                  <c:v>38.636363636363633</c:v>
                </c:pt>
                <c:pt idx="2">
                  <c:v>31.818181818181817</c:v>
                </c:pt>
                <c:pt idx="3">
                  <c:v>20.454545454545457</c:v>
                </c:pt>
              </c:numCache>
            </c:numRef>
          </c:val>
          <c:extLst>
            <c:ext xmlns:c16="http://schemas.microsoft.com/office/drawing/2014/chart" uri="{C3380CC4-5D6E-409C-BE32-E72D297353CC}">
              <c16:uniqueId val="{00000001-AA76-4B65-9AC1-4CD57774DAB3}"/>
            </c:ext>
          </c:extLst>
        </c:ser>
        <c:ser>
          <c:idx val="2"/>
          <c:order val="2"/>
          <c:tx>
            <c:strRef>
              <c:f>Aldersfordeling!$N$57</c:f>
              <c:strCache>
                <c:ptCount val="1"/>
                <c:pt idx="0">
                  <c:v>Region Øst</c:v>
                </c:pt>
              </c:strCache>
            </c:strRef>
          </c:tx>
          <c:spPr>
            <a:solidFill>
              <a:srgbClr val="7030A0"/>
            </a:solidFill>
            <a:ln>
              <a:noFill/>
            </a:ln>
            <a:effectLst/>
          </c:spPr>
          <c:invertIfNegative val="0"/>
          <c:val>
            <c:numRef>
              <c:f>Aldersfordeling!$O$57:$R$57</c:f>
              <c:numCache>
                <c:formatCode>General</c:formatCode>
                <c:ptCount val="4"/>
                <c:pt idx="0">
                  <c:v>2.1208907741251326</c:v>
                </c:pt>
                <c:pt idx="1">
                  <c:v>36.214209968186637</c:v>
                </c:pt>
                <c:pt idx="2">
                  <c:v>33.032873806998943</c:v>
                </c:pt>
                <c:pt idx="3">
                  <c:v>28.632025450689291</c:v>
                </c:pt>
              </c:numCache>
            </c:numRef>
          </c:val>
          <c:extLst>
            <c:ext xmlns:c16="http://schemas.microsoft.com/office/drawing/2014/chart" uri="{C3380CC4-5D6E-409C-BE32-E72D297353CC}">
              <c16:uniqueId val="{00000002-AA76-4B65-9AC1-4CD57774DAB3}"/>
            </c:ext>
          </c:extLst>
        </c:ser>
        <c:dLbls>
          <c:showLegendKey val="0"/>
          <c:showVal val="0"/>
          <c:showCatName val="0"/>
          <c:showSerName val="0"/>
          <c:showPercent val="0"/>
          <c:showBubbleSize val="0"/>
        </c:dLbls>
        <c:gapWidth val="219"/>
        <c:overlap val="-27"/>
        <c:axId val="229805440"/>
        <c:axId val="229823616"/>
      </c:barChart>
      <c:catAx>
        <c:axId val="2298054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29823616"/>
        <c:crosses val="autoZero"/>
        <c:auto val="1"/>
        <c:lblAlgn val="ctr"/>
        <c:lblOffset val="100"/>
        <c:noMultiLvlLbl val="0"/>
      </c:catAx>
      <c:valAx>
        <c:axId val="22982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2980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FC1CF-D504-4829-AC7B-4067BF6A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3330</Words>
  <Characters>20320</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 Lauenborg</dc:creator>
  <cp:lastModifiedBy>Jeannet Lauenborg</cp:lastModifiedBy>
  <cp:revision>4</cp:revision>
  <cp:lastPrinted>2016-10-14T13:35:00Z</cp:lastPrinted>
  <dcterms:created xsi:type="dcterms:W3CDTF">2016-10-17T21:06:00Z</dcterms:created>
  <dcterms:modified xsi:type="dcterms:W3CDTF">2016-10-29T16:37:00Z</dcterms:modified>
</cp:coreProperties>
</file>